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568E4B5"/>
    <w:p w14:paraId="18B72823"/>
    <w:p w14:paraId="47914EC0">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center"/>
        <w:textAlignment w:val="auto"/>
        <w:outlineLvl w:val="0"/>
        <w:rPr>
          <w:rFonts w:hint="eastAsia" w:ascii="方正小标宋简体" w:hAnsi="Times New Roman" w:eastAsia="方正小标宋简体" w:cs="Times New Roman"/>
          <w:b w:val="0"/>
          <w:bCs/>
          <w:sz w:val="44"/>
          <w:szCs w:val="44"/>
          <w:lang w:val="en-US" w:eastAsia="zh-CN"/>
        </w:rPr>
      </w:pPr>
      <w:bookmarkStart w:id="0" w:name="_Toc12259"/>
      <w:bookmarkStart w:id="1" w:name="_Toc1929"/>
      <w:bookmarkStart w:id="2" w:name="_Toc21140"/>
      <w:bookmarkStart w:id="3" w:name="_Toc9942"/>
      <w:bookmarkStart w:id="4" w:name="_Toc883"/>
      <w:bookmarkStart w:id="5" w:name="_Toc21749"/>
      <w:bookmarkStart w:id="6" w:name="_Toc1182"/>
      <w:bookmarkStart w:id="7" w:name="_Toc1801"/>
      <w:bookmarkStart w:id="8" w:name="_Toc12431"/>
      <w:r>
        <w:rPr>
          <w:rFonts w:hint="eastAsia" w:ascii="方正小标宋简体" w:hAnsi="Times New Roman" w:eastAsia="方正小标宋简体" w:cs="Times New Roman"/>
          <w:b w:val="0"/>
          <w:bCs/>
          <w:sz w:val="44"/>
          <w:szCs w:val="44"/>
          <w:lang w:val="en-US" w:eastAsia="zh-CN"/>
        </w:rPr>
        <w:t>静海大邱庄振兴镀锌管有限公司</w:t>
      </w:r>
      <w:bookmarkEnd w:id="0"/>
      <w:bookmarkEnd w:id="1"/>
      <w:bookmarkEnd w:id="2"/>
      <w:bookmarkEnd w:id="3"/>
    </w:p>
    <w:p w14:paraId="23E367FF">
      <w:pPr>
        <w:keepNext w:val="0"/>
        <w:keepLines w:val="0"/>
        <w:pageBreakBefore w:val="0"/>
        <w:widowControl w:val="0"/>
        <w:kinsoku/>
        <w:wordWrap/>
        <w:overflowPunct/>
        <w:topLinePunct w:val="0"/>
        <w:autoSpaceDE/>
        <w:autoSpaceDN/>
        <w:bidi w:val="0"/>
        <w:adjustRightInd/>
        <w:snapToGrid/>
        <w:spacing w:line="560" w:lineRule="exact"/>
        <w:ind w:firstLine="1320" w:firstLineChars="300"/>
        <w:jc w:val="both"/>
        <w:textAlignment w:val="auto"/>
        <w:outlineLvl w:val="0"/>
        <w:rPr>
          <w:rFonts w:hint="eastAsia" w:ascii="方正小标宋简体" w:hAnsi="Times New Roman" w:eastAsia="方正小标宋简体" w:cs="Times New Roman"/>
          <w:b w:val="0"/>
          <w:bCs/>
          <w:sz w:val="44"/>
          <w:szCs w:val="44"/>
          <w:lang w:val="en-US" w:eastAsia="zh-CN"/>
        </w:rPr>
      </w:pPr>
      <w:bookmarkStart w:id="9" w:name="_Toc26736"/>
      <w:bookmarkStart w:id="10" w:name="_Toc23246"/>
      <w:bookmarkStart w:id="11" w:name="_Toc21812"/>
      <w:bookmarkStart w:id="12" w:name="_Toc20835"/>
      <w:r>
        <w:rPr>
          <w:rFonts w:hint="eastAsia" w:ascii="方正小标宋简体" w:hAnsi="Times New Roman" w:eastAsia="方正小标宋简体" w:cs="Times New Roman"/>
          <w:b w:val="0"/>
          <w:bCs/>
          <w:sz w:val="44"/>
          <w:szCs w:val="44"/>
          <w:lang w:val="en-US" w:eastAsia="zh-CN"/>
        </w:rPr>
        <w:t>“3·12”一般爆炸事故调查报告</w:t>
      </w:r>
      <w:bookmarkEnd w:id="4"/>
      <w:bookmarkEnd w:id="5"/>
      <w:bookmarkEnd w:id="6"/>
      <w:bookmarkEnd w:id="7"/>
      <w:bookmarkEnd w:id="8"/>
      <w:bookmarkEnd w:id="9"/>
      <w:bookmarkEnd w:id="10"/>
      <w:bookmarkEnd w:id="11"/>
      <w:bookmarkEnd w:id="12"/>
    </w:p>
    <w:p w14:paraId="200638A7">
      <w:pPr>
        <w:keepNext w:val="0"/>
        <w:keepLines w:val="0"/>
        <w:pageBreakBefore w:val="0"/>
        <w:widowControl w:val="0"/>
        <w:tabs>
          <w:tab w:val="left" w:pos="8040"/>
        </w:tabs>
        <w:kinsoku/>
        <w:wordWrap/>
        <w:overflowPunct/>
        <w:topLinePunct w:val="0"/>
        <w:autoSpaceDE/>
        <w:autoSpaceDN/>
        <w:bidi w:val="0"/>
        <w:adjustRightInd/>
        <w:snapToGrid/>
        <w:spacing w:line="560" w:lineRule="exact"/>
        <w:jc w:val="center"/>
        <w:textAlignment w:val="auto"/>
        <w:rPr>
          <w:rFonts w:hint="eastAsia" w:ascii="方正小标宋简体" w:hAnsi="方正小标宋_GBK" w:eastAsia="方正小标宋简体" w:cs="方正小标宋_GBK"/>
          <w:b w:val="0"/>
          <w:bCs/>
          <w:w w:val="90"/>
          <w:sz w:val="44"/>
          <w:szCs w:val="44"/>
        </w:rPr>
      </w:pPr>
    </w:p>
    <w:p w14:paraId="0CBC1BBC">
      <w:pPr>
        <w:tabs>
          <w:tab w:val="left" w:pos="8040"/>
        </w:tabs>
        <w:spacing w:line="560" w:lineRule="exact"/>
        <w:jc w:val="center"/>
        <w:rPr>
          <w:rFonts w:hint="eastAsia" w:ascii="方正小标宋简体" w:hAnsi="方正小标宋_GBK" w:eastAsia="方正小标宋简体" w:cs="方正小标宋_GBK"/>
          <w:b w:val="0"/>
          <w:bCs/>
          <w:w w:val="90"/>
          <w:sz w:val="44"/>
          <w:szCs w:val="44"/>
        </w:rPr>
      </w:pPr>
    </w:p>
    <w:p w14:paraId="2AD988A4">
      <w:pPr>
        <w:tabs>
          <w:tab w:val="left" w:pos="8040"/>
        </w:tabs>
        <w:spacing w:line="560" w:lineRule="exact"/>
        <w:jc w:val="center"/>
        <w:rPr>
          <w:rFonts w:hint="eastAsia" w:ascii="方正小标宋简体" w:hAnsi="方正小标宋_GBK" w:eastAsia="方正小标宋简体" w:cs="方正小标宋_GBK"/>
          <w:b w:val="0"/>
          <w:bCs/>
          <w:w w:val="90"/>
          <w:sz w:val="44"/>
          <w:szCs w:val="44"/>
        </w:rPr>
      </w:pPr>
    </w:p>
    <w:p w14:paraId="3FA6E707">
      <w:pPr>
        <w:tabs>
          <w:tab w:val="left" w:pos="8040"/>
        </w:tabs>
        <w:spacing w:line="560" w:lineRule="exact"/>
        <w:jc w:val="center"/>
        <w:rPr>
          <w:rFonts w:hint="eastAsia" w:ascii="方正小标宋简体" w:hAnsi="方正小标宋_GBK" w:eastAsia="方正小标宋简体" w:cs="方正小标宋_GBK"/>
          <w:b w:val="0"/>
          <w:bCs/>
          <w:w w:val="90"/>
          <w:sz w:val="44"/>
          <w:szCs w:val="44"/>
        </w:rPr>
      </w:pPr>
    </w:p>
    <w:p w14:paraId="1B38BD6D">
      <w:pPr>
        <w:tabs>
          <w:tab w:val="left" w:pos="8040"/>
        </w:tabs>
        <w:spacing w:line="560" w:lineRule="exact"/>
        <w:jc w:val="center"/>
        <w:rPr>
          <w:rFonts w:hint="eastAsia" w:ascii="方正小标宋简体" w:hAnsi="方正小标宋_GBK" w:eastAsia="方正小标宋简体" w:cs="方正小标宋_GBK"/>
          <w:b w:val="0"/>
          <w:bCs/>
          <w:w w:val="90"/>
          <w:sz w:val="44"/>
          <w:szCs w:val="44"/>
        </w:rPr>
      </w:pPr>
    </w:p>
    <w:p w14:paraId="50B931F4">
      <w:pPr>
        <w:tabs>
          <w:tab w:val="left" w:pos="8040"/>
        </w:tabs>
        <w:spacing w:line="560" w:lineRule="exact"/>
        <w:jc w:val="center"/>
        <w:rPr>
          <w:rFonts w:hint="eastAsia" w:ascii="方正小标宋简体" w:hAnsi="方正小标宋_GBK" w:eastAsia="方正小标宋简体" w:cs="方正小标宋_GBK"/>
          <w:b w:val="0"/>
          <w:bCs/>
          <w:w w:val="90"/>
          <w:sz w:val="44"/>
          <w:szCs w:val="44"/>
        </w:rPr>
      </w:pPr>
    </w:p>
    <w:p w14:paraId="17CE84C1">
      <w:pPr>
        <w:tabs>
          <w:tab w:val="left" w:pos="8040"/>
        </w:tabs>
        <w:spacing w:line="560" w:lineRule="exact"/>
        <w:jc w:val="center"/>
        <w:rPr>
          <w:rFonts w:hint="eastAsia" w:ascii="方正小标宋简体" w:hAnsi="方正小标宋_GBK" w:eastAsia="方正小标宋简体" w:cs="方正小标宋_GBK"/>
          <w:b w:val="0"/>
          <w:bCs/>
          <w:w w:val="90"/>
          <w:sz w:val="44"/>
          <w:szCs w:val="44"/>
        </w:rPr>
      </w:pPr>
    </w:p>
    <w:p w14:paraId="388E085C">
      <w:pPr>
        <w:tabs>
          <w:tab w:val="left" w:pos="8040"/>
        </w:tabs>
        <w:spacing w:line="560" w:lineRule="exact"/>
        <w:jc w:val="center"/>
        <w:rPr>
          <w:rFonts w:hint="eastAsia" w:ascii="方正小标宋简体" w:hAnsi="方正小标宋_GBK" w:eastAsia="方正小标宋简体" w:cs="方正小标宋_GBK"/>
          <w:b w:val="0"/>
          <w:bCs/>
          <w:w w:val="90"/>
          <w:sz w:val="44"/>
          <w:szCs w:val="44"/>
        </w:rPr>
      </w:pPr>
    </w:p>
    <w:p w14:paraId="4B639885">
      <w:pPr>
        <w:tabs>
          <w:tab w:val="left" w:pos="8040"/>
        </w:tabs>
        <w:spacing w:line="560" w:lineRule="exact"/>
        <w:jc w:val="center"/>
        <w:rPr>
          <w:rFonts w:hint="eastAsia" w:ascii="方正小标宋简体" w:hAnsi="方正小标宋_GBK" w:eastAsia="方正小标宋简体" w:cs="方正小标宋_GBK"/>
          <w:b w:val="0"/>
          <w:bCs/>
          <w:w w:val="90"/>
          <w:sz w:val="44"/>
          <w:szCs w:val="44"/>
        </w:rPr>
      </w:pPr>
    </w:p>
    <w:p w14:paraId="199C9F28">
      <w:pPr>
        <w:tabs>
          <w:tab w:val="left" w:pos="8040"/>
        </w:tabs>
        <w:spacing w:line="560" w:lineRule="exact"/>
        <w:jc w:val="center"/>
        <w:rPr>
          <w:rFonts w:hint="eastAsia" w:ascii="方正小标宋简体" w:hAnsi="方正小标宋_GBK" w:eastAsia="方正小标宋简体" w:cs="方正小标宋_GBK"/>
          <w:b w:val="0"/>
          <w:bCs/>
          <w:w w:val="90"/>
          <w:sz w:val="44"/>
          <w:szCs w:val="44"/>
        </w:rPr>
      </w:pPr>
    </w:p>
    <w:p w14:paraId="355C72E4">
      <w:pPr>
        <w:tabs>
          <w:tab w:val="left" w:pos="8040"/>
        </w:tabs>
        <w:spacing w:line="560" w:lineRule="exact"/>
        <w:jc w:val="center"/>
        <w:rPr>
          <w:rFonts w:hint="eastAsia" w:ascii="方正小标宋简体" w:hAnsi="方正小标宋_GBK" w:eastAsia="方正小标宋简体" w:cs="方正小标宋_GBK"/>
          <w:b w:val="0"/>
          <w:bCs/>
          <w:w w:val="90"/>
          <w:sz w:val="44"/>
          <w:szCs w:val="44"/>
        </w:rPr>
      </w:pPr>
    </w:p>
    <w:p w14:paraId="489C4325">
      <w:pPr>
        <w:pStyle w:val="19"/>
        <w:rPr>
          <w:rFonts w:hint="eastAsia" w:ascii="方正小标宋简体" w:hAnsi="方正小标宋_GBK" w:eastAsia="方正小标宋简体" w:cs="方正小标宋_GBK"/>
          <w:b w:val="0"/>
          <w:bCs/>
          <w:w w:val="90"/>
          <w:sz w:val="44"/>
          <w:szCs w:val="44"/>
        </w:rPr>
      </w:pPr>
    </w:p>
    <w:p w14:paraId="22C51C5A">
      <w:pPr>
        <w:pStyle w:val="19"/>
        <w:rPr>
          <w:rFonts w:hint="eastAsia" w:ascii="方正小标宋简体" w:hAnsi="方正小标宋_GBK" w:eastAsia="方正小标宋简体" w:cs="方正小标宋_GBK"/>
          <w:b w:val="0"/>
          <w:bCs/>
          <w:w w:val="90"/>
          <w:sz w:val="44"/>
          <w:szCs w:val="44"/>
        </w:rPr>
      </w:pPr>
    </w:p>
    <w:p w14:paraId="56996C48">
      <w:pPr>
        <w:pageBreakBefore w:val="0"/>
        <w:widowControl w:val="0"/>
        <w:kinsoku/>
        <w:wordWrap/>
        <w:overflowPunct/>
        <w:topLinePunct w:val="0"/>
        <w:autoSpaceDE/>
        <w:autoSpaceDN/>
        <w:bidi w:val="0"/>
        <w:adjustRightInd/>
        <w:snapToGrid/>
        <w:spacing w:line="560" w:lineRule="exact"/>
        <w:ind w:firstLine="643" w:firstLineChars="200"/>
        <w:jc w:val="center"/>
        <w:textAlignment w:val="auto"/>
        <w:outlineLvl w:val="0"/>
        <w:rPr>
          <w:rFonts w:hint="eastAsia" w:ascii="仿宋_GB2312" w:hAnsi="仿宋_GB2312" w:eastAsia="仿宋_GB2312" w:cs="仿宋_GB2312"/>
          <w:b/>
          <w:bCs w:val="0"/>
          <w:sz w:val="32"/>
          <w:szCs w:val="32"/>
          <w:lang w:val="en-US" w:eastAsia="zh-CN"/>
        </w:rPr>
      </w:pPr>
      <w:bookmarkStart w:id="13" w:name="_Toc15683"/>
      <w:bookmarkStart w:id="14" w:name="_Toc22842"/>
      <w:bookmarkStart w:id="15" w:name="_Toc7803"/>
      <w:bookmarkStart w:id="16" w:name="_Toc25074"/>
      <w:bookmarkStart w:id="17" w:name="_Toc26245"/>
      <w:bookmarkStart w:id="18" w:name="_Toc23366"/>
      <w:bookmarkStart w:id="19" w:name="_Toc1276"/>
      <w:bookmarkStart w:id="20" w:name="_Toc14258"/>
      <w:bookmarkStart w:id="21" w:name="_Toc26132"/>
      <w:bookmarkStart w:id="22" w:name="_Toc3920"/>
      <w:bookmarkStart w:id="23" w:name="_Toc30011"/>
      <w:bookmarkStart w:id="24" w:name="_Toc6418"/>
      <w:r>
        <w:rPr>
          <w:rFonts w:hint="eastAsia" w:ascii="仿宋_GB2312" w:hAnsi="仿宋_GB2312" w:eastAsia="仿宋_GB2312" w:cs="仿宋_GB2312"/>
          <w:b/>
          <w:bCs w:val="0"/>
          <w:sz w:val="32"/>
          <w:szCs w:val="32"/>
          <w:lang w:val="en-US" w:eastAsia="zh-CN"/>
        </w:rPr>
        <w:t>静海区政府事故调查组</w:t>
      </w:r>
      <w:bookmarkEnd w:id="13"/>
      <w:bookmarkEnd w:id="14"/>
      <w:bookmarkEnd w:id="15"/>
      <w:bookmarkEnd w:id="16"/>
      <w:bookmarkEnd w:id="17"/>
      <w:bookmarkEnd w:id="18"/>
      <w:bookmarkEnd w:id="19"/>
      <w:bookmarkEnd w:id="20"/>
      <w:bookmarkEnd w:id="21"/>
      <w:bookmarkEnd w:id="22"/>
      <w:bookmarkEnd w:id="23"/>
      <w:bookmarkEnd w:id="24"/>
    </w:p>
    <w:p w14:paraId="39A0CAA1">
      <w:pPr>
        <w:spacing w:line="560" w:lineRule="exact"/>
        <w:ind w:firstLine="643" w:firstLineChars="200"/>
        <w:jc w:val="center"/>
        <w:rPr>
          <w:rFonts w:hint="eastAsia" w:ascii="仿宋_GB2312" w:hAnsi="仿宋_GB2312" w:eastAsia="仿宋_GB2312" w:cs="仿宋_GB2312"/>
          <w:b/>
          <w:bCs w:val="0"/>
          <w:sz w:val="32"/>
          <w:szCs w:val="32"/>
          <w:lang w:val="en-US" w:eastAsia="zh-CN"/>
        </w:rPr>
      </w:pPr>
      <w:r>
        <w:rPr>
          <w:rFonts w:hint="eastAsia" w:ascii="仿宋_GB2312" w:hAnsi="仿宋_GB2312" w:eastAsia="仿宋_GB2312" w:cs="仿宋_GB2312"/>
          <w:b/>
          <w:bCs w:val="0"/>
          <w:sz w:val="32"/>
          <w:szCs w:val="32"/>
          <w:lang w:val="en-US" w:eastAsia="zh-CN"/>
        </w:rPr>
        <w:t>202</w:t>
      </w:r>
      <w:r>
        <w:rPr>
          <w:rFonts w:hint="eastAsia" w:ascii="仿宋_GB2312" w:hAnsi="仿宋_GB2312" w:cs="仿宋_GB2312"/>
          <w:b/>
          <w:bCs w:val="0"/>
          <w:sz w:val="32"/>
          <w:szCs w:val="32"/>
          <w:lang w:val="en-US" w:eastAsia="zh-CN"/>
        </w:rPr>
        <w:t>5</w:t>
      </w:r>
      <w:r>
        <w:rPr>
          <w:rFonts w:hint="eastAsia" w:ascii="仿宋_GB2312" w:hAnsi="仿宋_GB2312" w:eastAsia="仿宋_GB2312" w:cs="仿宋_GB2312"/>
          <w:b/>
          <w:bCs w:val="0"/>
          <w:sz w:val="32"/>
          <w:szCs w:val="32"/>
          <w:lang w:val="en-US" w:eastAsia="zh-CN"/>
        </w:rPr>
        <w:t>年</w:t>
      </w:r>
      <w:r>
        <w:rPr>
          <w:rFonts w:hint="eastAsia" w:ascii="仿宋_GB2312" w:hAnsi="仿宋_GB2312" w:cs="仿宋_GB2312"/>
          <w:b/>
          <w:bCs w:val="0"/>
          <w:sz w:val="32"/>
          <w:szCs w:val="32"/>
          <w:lang w:val="en-US" w:eastAsia="zh-CN"/>
        </w:rPr>
        <w:t>5</w:t>
      </w:r>
      <w:r>
        <w:rPr>
          <w:rFonts w:hint="eastAsia" w:ascii="仿宋_GB2312" w:hAnsi="仿宋_GB2312" w:eastAsia="仿宋_GB2312" w:cs="仿宋_GB2312"/>
          <w:b/>
          <w:bCs w:val="0"/>
          <w:sz w:val="32"/>
          <w:szCs w:val="32"/>
          <w:lang w:val="en-US" w:eastAsia="zh-CN"/>
        </w:rPr>
        <w:t>月</w:t>
      </w:r>
    </w:p>
    <w:p w14:paraId="115E1E14">
      <w:pPr>
        <w:keepNext w:val="0"/>
        <w:keepLines w:val="0"/>
        <w:pageBreakBefore w:val="0"/>
        <w:widowControl w:val="0"/>
        <w:kinsoku/>
        <w:wordWrap/>
        <w:overflowPunct/>
        <w:topLinePunct w:val="0"/>
        <w:autoSpaceDE/>
        <w:autoSpaceDN/>
        <w:bidi w:val="0"/>
        <w:adjustRightInd/>
        <w:snapToGrid/>
        <w:spacing w:line="540" w:lineRule="exact"/>
        <w:ind w:left="0" w:leftChars="0" w:right="0" w:rightChars="0" w:firstLine="0" w:firstLineChars="0"/>
        <w:jc w:val="center"/>
        <w:textAlignment w:val="auto"/>
        <w:rPr>
          <w:rFonts w:ascii="宋体" w:hAnsi="宋体" w:eastAsia="宋体" w:cs="Times New Roman"/>
          <w:kern w:val="2"/>
          <w:sz w:val="21"/>
          <w:lang w:val="en-US" w:eastAsia="zh-CN" w:bidi="ar-SA"/>
        </w:rPr>
      </w:pPr>
    </w:p>
    <w:p w14:paraId="5F8B5CF2">
      <w:pPr>
        <w:pStyle w:val="2"/>
        <w:rPr>
          <w:lang w:val="en-US" w:eastAsia="zh-CN"/>
        </w:rPr>
      </w:pPr>
    </w:p>
    <w:p w14:paraId="7DB6D214">
      <w:pPr>
        <w:keepNext w:val="0"/>
        <w:keepLines w:val="0"/>
        <w:pageBreakBefore w:val="0"/>
        <w:widowControl w:val="0"/>
        <w:kinsoku/>
        <w:wordWrap/>
        <w:overflowPunct/>
        <w:topLinePunct w:val="0"/>
        <w:autoSpaceDE/>
        <w:autoSpaceDN/>
        <w:bidi w:val="0"/>
        <w:adjustRightInd/>
        <w:snapToGrid/>
        <w:spacing w:line="540" w:lineRule="exact"/>
        <w:ind w:left="0" w:leftChars="0" w:right="0" w:rightChars="0" w:firstLine="0" w:firstLineChars="0"/>
        <w:jc w:val="center"/>
        <w:textAlignment w:val="auto"/>
        <w:rPr>
          <w:rFonts w:ascii="宋体" w:hAnsi="宋体" w:eastAsia="宋体" w:cs="Times New Roman"/>
          <w:kern w:val="2"/>
          <w:sz w:val="21"/>
          <w:lang w:val="en-US" w:eastAsia="zh-CN" w:bidi="ar-SA"/>
        </w:rPr>
        <w:sectPr>
          <w:headerReference r:id="rId4" w:type="default"/>
          <w:footerReference r:id="rId5" w:type="default"/>
          <w:pgSz w:w="11906" w:h="16838"/>
          <w:pgMar w:top="2041" w:right="1559" w:bottom="1701" w:left="1559" w:header="851" w:footer="1701" w:gutter="0"/>
          <w:pgNumType w:fmt="numberInDash" w:start="1"/>
          <w:cols w:space="720" w:num="1"/>
          <w:docGrid w:type="lines" w:linePitch="312" w:charSpace="0"/>
        </w:sectPr>
      </w:pPr>
    </w:p>
    <w:sdt>
      <w:sdtPr>
        <w:rPr>
          <w:rFonts w:ascii="宋体" w:hAnsi="宋体" w:eastAsia="宋体" w:cs="Times New Roman"/>
          <w:kern w:val="2"/>
          <w:sz w:val="21"/>
          <w:lang w:val="en-US" w:eastAsia="zh-CN" w:bidi="ar-SA"/>
        </w:rPr>
        <w:id w:val="147465956"/>
        <w15:color w:val="DBDBDB"/>
        <w:docPartObj>
          <w:docPartGallery w:val="Table of Contents"/>
          <w:docPartUnique/>
        </w:docPartObj>
      </w:sdtPr>
      <w:sdtEndPr>
        <w:rPr>
          <w:rFonts w:hint="eastAsia" w:ascii="黑体" w:hAnsi="黑体" w:eastAsia="黑体" w:cs="黑体"/>
          <w:b/>
          <w:vanish/>
          <w:kern w:val="2"/>
          <w:sz w:val="32"/>
          <w:szCs w:val="32"/>
          <w:lang w:val="en-US" w:eastAsia="zh-CN" w:bidi="ar-SA"/>
        </w:rPr>
      </w:sdtEndPr>
      <w:sdtContent>
        <w:p w14:paraId="0DD5C0B7">
          <w:pPr>
            <w:keepNext w:val="0"/>
            <w:keepLines w:val="0"/>
            <w:pageBreakBefore w:val="0"/>
            <w:widowControl w:val="0"/>
            <w:kinsoku/>
            <w:wordWrap/>
            <w:overflowPunct/>
            <w:topLinePunct w:val="0"/>
            <w:autoSpaceDE/>
            <w:autoSpaceDN/>
            <w:bidi w:val="0"/>
            <w:adjustRightInd/>
            <w:snapToGrid/>
            <w:spacing w:line="540" w:lineRule="exact"/>
            <w:ind w:left="0" w:leftChars="0" w:right="0" w:rightChars="0" w:firstLine="0" w:firstLineChars="0"/>
            <w:jc w:val="center"/>
            <w:textAlignment w:val="auto"/>
            <w:rPr>
              <w:rFonts w:ascii="宋体" w:hAnsi="宋体" w:eastAsia="宋体" w:cs="Times New Roman"/>
              <w:kern w:val="2"/>
              <w:sz w:val="21"/>
              <w:lang w:val="en-US" w:eastAsia="zh-CN" w:bidi="ar-SA"/>
            </w:rPr>
          </w:pPr>
        </w:p>
        <w:p w14:paraId="57F07225">
          <w:pPr>
            <w:keepNext w:val="0"/>
            <w:keepLines w:val="0"/>
            <w:pageBreakBefore w:val="0"/>
            <w:widowControl w:val="0"/>
            <w:kinsoku/>
            <w:wordWrap/>
            <w:overflowPunct/>
            <w:topLinePunct w:val="0"/>
            <w:autoSpaceDE/>
            <w:autoSpaceDN/>
            <w:bidi w:val="0"/>
            <w:adjustRightInd/>
            <w:snapToGrid/>
            <w:spacing w:line="540" w:lineRule="exact"/>
            <w:ind w:left="0" w:leftChars="0" w:right="0" w:rightChars="0" w:firstLine="0" w:firstLineChars="0"/>
            <w:jc w:val="center"/>
            <w:textAlignment w:val="auto"/>
            <w:rPr>
              <w:rFonts w:hint="eastAsia" w:ascii="方正小标宋简体" w:hAnsi="方正小标宋_GBK" w:eastAsia="方正小标宋简体" w:cs="方正小标宋_GBK"/>
              <w:w w:val="90"/>
              <w:kern w:val="44"/>
              <w:sz w:val="32"/>
              <w:szCs w:val="44"/>
              <w:lang w:val="en-US" w:eastAsia="zh-CN" w:bidi="ar-SA"/>
            </w:rPr>
            <w:sectPr>
              <w:footerReference r:id="rId6" w:type="default"/>
              <w:pgSz w:w="11906" w:h="16838"/>
              <w:pgMar w:top="2041" w:right="1559" w:bottom="1701" w:left="1559" w:header="851" w:footer="1701" w:gutter="0"/>
              <w:pgNumType w:fmt="numberInDash" w:start="1"/>
              <w:cols w:space="720" w:num="1"/>
              <w:docGrid w:type="lines" w:linePitch="312" w:charSpace="0"/>
            </w:sectPr>
          </w:pPr>
        </w:p>
        <w:p w14:paraId="41A8D72F">
          <w:pPr>
            <w:pStyle w:val="2"/>
            <w:keepNext w:val="0"/>
            <w:keepLines w:val="0"/>
            <w:pageBreakBefore w:val="0"/>
            <w:widowControl w:val="0"/>
            <w:kinsoku/>
            <w:wordWrap/>
            <w:overflowPunct/>
            <w:topLinePunct w:val="0"/>
            <w:autoSpaceDE/>
            <w:autoSpaceDN/>
            <w:bidi w:val="0"/>
            <w:adjustRightInd/>
            <w:snapToGrid/>
            <w:spacing w:line="540" w:lineRule="exact"/>
            <w:ind w:left="0" w:leftChars="0" w:right="0" w:rightChars="0" w:firstLine="0" w:firstLineChars="0"/>
            <w:jc w:val="center"/>
            <w:textAlignment w:val="auto"/>
            <w:outlineLvl w:val="9"/>
            <w:rPr>
              <w:rFonts w:hint="eastAsia" w:ascii="黑体" w:hAnsi="黑体" w:eastAsia="黑体" w:cs="黑体"/>
              <w:kern w:val="2"/>
              <w:sz w:val="32"/>
              <w:szCs w:val="32"/>
              <w:lang w:val="en-US" w:eastAsia="zh-CN" w:bidi="ar-SA"/>
            </w:rPr>
          </w:pPr>
          <w:bookmarkStart w:id="25" w:name="_Toc822"/>
          <w:r>
            <w:rPr>
              <w:rFonts w:hint="eastAsia" w:ascii="方正小标宋简体" w:hAnsi="方正小标宋_GBK" w:eastAsia="方正小标宋简体" w:cs="方正小标宋_GBK"/>
              <w:w w:val="90"/>
              <w:kern w:val="44"/>
              <w:sz w:val="32"/>
              <w:szCs w:val="44"/>
              <w:lang w:val="en-US" w:eastAsia="zh-CN" w:bidi="ar-SA"/>
            </w:rPr>
            <w:t>目 录</w:t>
          </w:r>
          <w:bookmarkEnd w:id="25"/>
          <w:r>
            <w:rPr>
              <w:rFonts w:hint="eastAsia"/>
              <w:lang w:eastAsia="zh-CN"/>
            </w:rPr>
            <w:fldChar w:fldCharType="begin"/>
          </w:r>
          <w:r>
            <w:rPr>
              <w:rFonts w:hint="eastAsia"/>
              <w:lang w:eastAsia="zh-CN"/>
            </w:rPr>
            <w:instrText xml:space="preserve">TOC \o "1-2" \h \u </w:instrText>
          </w:r>
          <w:r>
            <w:rPr>
              <w:rFonts w:hint="eastAsia"/>
              <w:lang w:eastAsia="zh-CN"/>
            </w:rPr>
            <w:fldChar w:fldCharType="separate"/>
          </w:r>
        </w:p>
        <w:p w14:paraId="4DD216A4">
          <w:pPr>
            <w:pStyle w:val="11"/>
            <w:keepNext w:val="0"/>
            <w:keepLines w:val="0"/>
            <w:pageBreakBefore w:val="0"/>
            <w:widowControl w:val="0"/>
            <w:tabs>
              <w:tab w:val="right" w:leader="dot" w:pos="8788"/>
            </w:tabs>
            <w:kinsoku/>
            <w:wordWrap/>
            <w:overflowPunct/>
            <w:topLinePunct w:val="0"/>
            <w:autoSpaceDE/>
            <w:autoSpaceDN/>
            <w:bidi w:val="0"/>
            <w:adjustRightInd/>
            <w:snapToGrid/>
            <w:spacing w:line="540" w:lineRule="exact"/>
            <w:textAlignment w:val="auto"/>
          </w:pPr>
          <w:r>
            <w:rPr>
              <w:rFonts w:hint="eastAsia"/>
              <w:lang w:eastAsia="zh-CN"/>
            </w:rPr>
            <w:fldChar w:fldCharType="begin"/>
          </w:r>
          <w:r>
            <w:rPr>
              <w:rFonts w:hint="eastAsia"/>
              <w:lang w:eastAsia="zh-CN"/>
            </w:rPr>
            <w:instrText xml:space="preserve"> HYPERLINK \l _Toc7100 </w:instrText>
          </w:r>
          <w:r>
            <w:rPr>
              <w:rFonts w:hint="eastAsia"/>
              <w:lang w:eastAsia="zh-CN"/>
            </w:rPr>
            <w:fldChar w:fldCharType="separate"/>
          </w:r>
          <w:r>
            <w:rPr>
              <w:rFonts w:hint="eastAsia"/>
            </w:rPr>
            <w:t>一、事故基本情况</w:t>
          </w:r>
          <w:r>
            <w:rPr>
              <w:rFonts w:hint="eastAsia" w:ascii="方正楷体_GBK" w:hAnsi="方正楷体_GBK" w:eastAsia="方正楷体_GBK" w:cs="方正楷体_GBK"/>
              <w:kern w:val="2"/>
              <w:sz w:val="32"/>
              <w:lang w:val="en-US" w:eastAsia="zh-CN" w:bidi="ar-SA"/>
            </w:rPr>
            <w:tab/>
          </w:r>
          <w:r>
            <w:rPr>
              <w:rFonts w:hint="eastAsia" w:ascii="方正楷体_GBK" w:hAnsi="方正楷体_GBK" w:eastAsia="方正楷体_GBK" w:cs="方正楷体_GBK"/>
              <w:kern w:val="2"/>
              <w:sz w:val="32"/>
              <w:lang w:val="en-US" w:eastAsia="zh-CN" w:bidi="ar-SA"/>
            </w:rPr>
            <w:fldChar w:fldCharType="begin"/>
          </w:r>
          <w:r>
            <w:rPr>
              <w:rFonts w:hint="eastAsia" w:ascii="方正楷体_GBK" w:hAnsi="方正楷体_GBK" w:eastAsia="方正楷体_GBK" w:cs="方正楷体_GBK"/>
              <w:kern w:val="2"/>
              <w:sz w:val="32"/>
              <w:lang w:val="en-US" w:eastAsia="zh-CN" w:bidi="ar-SA"/>
            </w:rPr>
            <w:instrText xml:space="preserve"> PAGEREF _Toc7100 \h </w:instrText>
          </w:r>
          <w:r>
            <w:rPr>
              <w:rFonts w:hint="eastAsia" w:ascii="方正楷体_GBK" w:hAnsi="方正楷体_GBK" w:eastAsia="方正楷体_GBK" w:cs="方正楷体_GBK"/>
              <w:kern w:val="2"/>
              <w:sz w:val="32"/>
              <w:lang w:val="en-US" w:eastAsia="zh-CN" w:bidi="ar-SA"/>
            </w:rPr>
            <w:fldChar w:fldCharType="separate"/>
          </w:r>
          <w:r>
            <w:rPr>
              <w:rFonts w:hint="eastAsia" w:ascii="方正楷体_GBK" w:hAnsi="方正楷体_GBK" w:eastAsia="方正楷体_GBK" w:cs="方正楷体_GBK"/>
              <w:kern w:val="2"/>
              <w:sz w:val="32"/>
              <w:lang w:val="en-US" w:eastAsia="zh-CN" w:bidi="ar-SA"/>
            </w:rPr>
            <w:t>- 1 -</w:t>
          </w:r>
          <w:r>
            <w:rPr>
              <w:rFonts w:hint="eastAsia" w:ascii="方正楷体_GBK" w:hAnsi="方正楷体_GBK" w:eastAsia="方正楷体_GBK" w:cs="方正楷体_GBK"/>
              <w:kern w:val="2"/>
              <w:sz w:val="32"/>
              <w:lang w:val="en-US" w:eastAsia="zh-CN" w:bidi="ar-SA"/>
            </w:rPr>
            <w:fldChar w:fldCharType="end"/>
          </w:r>
          <w:r>
            <w:rPr>
              <w:rFonts w:hint="eastAsia"/>
              <w:lang w:eastAsia="zh-CN"/>
            </w:rPr>
            <w:fldChar w:fldCharType="end"/>
          </w:r>
        </w:p>
        <w:p w14:paraId="61918B91">
          <w:pPr>
            <w:pStyle w:val="13"/>
            <w:keepNext w:val="0"/>
            <w:keepLines w:val="0"/>
            <w:pageBreakBefore w:val="0"/>
            <w:widowControl w:val="0"/>
            <w:tabs>
              <w:tab w:val="right" w:leader="dot" w:pos="8788"/>
            </w:tabs>
            <w:kinsoku/>
            <w:wordWrap/>
            <w:overflowPunct/>
            <w:topLinePunct w:val="0"/>
            <w:autoSpaceDE/>
            <w:autoSpaceDN/>
            <w:bidi w:val="0"/>
            <w:adjustRightInd/>
            <w:snapToGrid/>
            <w:spacing w:line="540" w:lineRule="exact"/>
            <w:textAlignment w:val="auto"/>
            <w:rPr>
              <w:rFonts w:hint="eastAsia" w:ascii="方正楷体_GBK" w:hAnsi="方正楷体_GBK" w:eastAsia="方正楷体_GBK" w:cs="方正楷体_GBK"/>
              <w:lang w:eastAsia="zh-CN"/>
            </w:rPr>
          </w:pPr>
          <w:r>
            <w:rPr>
              <w:rFonts w:hint="eastAsia" w:ascii="方正楷体_GBK" w:hAnsi="方正楷体_GBK" w:eastAsia="方正楷体_GBK" w:cs="方正楷体_GBK"/>
              <w:lang w:eastAsia="zh-CN"/>
            </w:rPr>
            <w:fldChar w:fldCharType="begin"/>
          </w:r>
          <w:r>
            <w:rPr>
              <w:rFonts w:hint="eastAsia" w:ascii="方正楷体_GBK" w:hAnsi="方正楷体_GBK" w:eastAsia="方正楷体_GBK" w:cs="方正楷体_GBK"/>
              <w:lang w:eastAsia="zh-CN"/>
            </w:rPr>
            <w:instrText xml:space="preserve"> HYPERLINK \l _Toc4036 </w:instrText>
          </w:r>
          <w:r>
            <w:rPr>
              <w:rFonts w:hint="eastAsia" w:ascii="方正楷体_GBK" w:hAnsi="方正楷体_GBK" w:eastAsia="方正楷体_GBK" w:cs="方正楷体_GBK"/>
              <w:lang w:eastAsia="zh-CN"/>
            </w:rPr>
            <w:fldChar w:fldCharType="separate"/>
          </w:r>
          <w:r>
            <w:rPr>
              <w:rFonts w:hint="eastAsia" w:ascii="方正楷体_GBK" w:hAnsi="方正楷体_GBK" w:eastAsia="方正楷体_GBK" w:cs="方正楷体_GBK"/>
              <w:lang w:eastAsia="zh-CN"/>
            </w:rPr>
            <w:t>（一）事故单位情况</w:t>
          </w:r>
          <w:r>
            <w:rPr>
              <w:rFonts w:hint="eastAsia" w:ascii="方正楷体_GBK" w:hAnsi="方正楷体_GBK" w:eastAsia="方正楷体_GBK" w:cs="方正楷体_GBK"/>
              <w:lang w:eastAsia="zh-CN"/>
            </w:rPr>
            <w:tab/>
          </w:r>
          <w:r>
            <w:rPr>
              <w:rFonts w:hint="eastAsia" w:ascii="方正楷体_GBK" w:hAnsi="方正楷体_GBK" w:eastAsia="方正楷体_GBK" w:cs="方正楷体_GBK"/>
              <w:lang w:eastAsia="zh-CN"/>
            </w:rPr>
            <w:fldChar w:fldCharType="begin"/>
          </w:r>
          <w:r>
            <w:rPr>
              <w:rFonts w:hint="eastAsia" w:ascii="方正楷体_GBK" w:hAnsi="方正楷体_GBK" w:eastAsia="方正楷体_GBK" w:cs="方正楷体_GBK"/>
              <w:lang w:eastAsia="zh-CN"/>
            </w:rPr>
            <w:instrText xml:space="preserve"> PAGEREF _Toc4036 \h </w:instrText>
          </w:r>
          <w:r>
            <w:rPr>
              <w:rFonts w:hint="eastAsia" w:ascii="方正楷体_GBK" w:hAnsi="方正楷体_GBK" w:eastAsia="方正楷体_GBK" w:cs="方正楷体_GBK"/>
              <w:lang w:eastAsia="zh-CN"/>
            </w:rPr>
            <w:fldChar w:fldCharType="separate"/>
          </w:r>
          <w:r>
            <w:rPr>
              <w:rFonts w:hint="eastAsia" w:ascii="方正楷体_GBK" w:hAnsi="方正楷体_GBK" w:eastAsia="方正楷体_GBK" w:cs="方正楷体_GBK"/>
              <w:lang w:eastAsia="zh-CN"/>
            </w:rPr>
            <w:t>- 1 -</w:t>
          </w:r>
          <w:r>
            <w:rPr>
              <w:rFonts w:hint="eastAsia" w:ascii="方正楷体_GBK" w:hAnsi="方正楷体_GBK" w:eastAsia="方正楷体_GBK" w:cs="方正楷体_GBK"/>
              <w:lang w:eastAsia="zh-CN"/>
            </w:rPr>
            <w:fldChar w:fldCharType="end"/>
          </w:r>
          <w:r>
            <w:rPr>
              <w:rFonts w:hint="eastAsia" w:ascii="方正楷体_GBK" w:hAnsi="方正楷体_GBK" w:eastAsia="方正楷体_GBK" w:cs="方正楷体_GBK"/>
              <w:lang w:eastAsia="zh-CN"/>
            </w:rPr>
            <w:fldChar w:fldCharType="end"/>
          </w:r>
        </w:p>
        <w:p w14:paraId="2127CF5F">
          <w:pPr>
            <w:pStyle w:val="13"/>
            <w:keepNext w:val="0"/>
            <w:keepLines w:val="0"/>
            <w:pageBreakBefore w:val="0"/>
            <w:widowControl w:val="0"/>
            <w:tabs>
              <w:tab w:val="right" w:leader="dot" w:pos="8788"/>
            </w:tabs>
            <w:kinsoku/>
            <w:wordWrap/>
            <w:overflowPunct/>
            <w:topLinePunct w:val="0"/>
            <w:autoSpaceDE/>
            <w:autoSpaceDN/>
            <w:bidi w:val="0"/>
            <w:adjustRightInd/>
            <w:snapToGrid/>
            <w:spacing w:line="540" w:lineRule="exact"/>
            <w:textAlignment w:val="auto"/>
            <w:rPr>
              <w:rFonts w:hint="eastAsia" w:ascii="方正楷体_GBK" w:hAnsi="方正楷体_GBK" w:eastAsia="方正楷体_GBK" w:cs="方正楷体_GBK"/>
              <w:lang w:eastAsia="zh-CN"/>
            </w:rPr>
          </w:pPr>
          <w:r>
            <w:rPr>
              <w:rFonts w:hint="eastAsia" w:ascii="方正楷体_GBK" w:hAnsi="方正楷体_GBK" w:eastAsia="方正楷体_GBK" w:cs="方正楷体_GBK"/>
              <w:lang w:eastAsia="zh-CN"/>
            </w:rPr>
            <w:fldChar w:fldCharType="begin"/>
          </w:r>
          <w:r>
            <w:rPr>
              <w:rFonts w:hint="eastAsia" w:ascii="方正楷体_GBK" w:hAnsi="方正楷体_GBK" w:eastAsia="方正楷体_GBK" w:cs="方正楷体_GBK"/>
              <w:lang w:eastAsia="zh-CN"/>
            </w:rPr>
            <w:instrText xml:space="preserve"> HYPERLINK \l _Toc19230 </w:instrText>
          </w:r>
          <w:r>
            <w:rPr>
              <w:rFonts w:hint="eastAsia" w:ascii="方正楷体_GBK" w:hAnsi="方正楷体_GBK" w:eastAsia="方正楷体_GBK" w:cs="方正楷体_GBK"/>
              <w:lang w:eastAsia="zh-CN"/>
            </w:rPr>
            <w:fldChar w:fldCharType="separate"/>
          </w:r>
          <w:r>
            <w:rPr>
              <w:rFonts w:hint="eastAsia" w:ascii="方正楷体_GBK" w:hAnsi="方正楷体_GBK" w:eastAsia="方正楷体_GBK" w:cs="方正楷体_GBK"/>
              <w:lang w:eastAsia="zh-CN"/>
            </w:rPr>
            <w:t>（二）事故单位安全管理情况</w:t>
          </w:r>
          <w:r>
            <w:rPr>
              <w:rFonts w:hint="eastAsia" w:ascii="方正楷体_GBK" w:hAnsi="方正楷体_GBK" w:eastAsia="方正楷体_GBK" w:cs="方正楷体_GBK"/>
              <w:lang w:eastAsia="zh-CN"/>
            </w:rPr>
            <w:tab/>
          </w:r>
          <w:r>
            <w:rPr>
              <w:rFonts w:hint="eastAsia" w:ascii="方正楷体_GBK" w:hAnsi="方正楷体_GBK" w:eastAsia="方正楷体_GBK" w:cs="方正楷体_GBK"/>
              <w:lang w:eastAsia="zh-CN"/>
            </w:rPr>
            <w:fldChar w:fldCharType="begin"/>
          </w:r>
          <w:r>
            <w:rPr>
              <w:rFonts w:hint="eastAsia" w:ascii="方正楷体_GBK" w:hAnsi="方正楷体_GBK" w:eastAsia="方正楷体_GBK" w:cs="方正楷体_GBK"/>
              <w:lang w:eastAsia="zh-CN"/>
            </w:rPr>
            <w:instrText xml:space="preserve"> PAGEREF _Toc19230 \h </w:instrText>
          </w:r>
          <w:r>
            <w:rPr>
              <w:rFonts w:hint="eastAsia" w:ascii="方正楷体_GBK" w:hAnsi="方正楷体_GBK" w:eastAsia="方正楷体_GBK" w:cs="方正楷体_GBK"/>
              <w:lang w:eastAsia="zh-CN"/>
            </w:rPr>
            <w:fldChar w:fldCharType="separate"/>
          </w:r>
          <w:r>
            <w:rPr>
              <w:rFonts w:hint="eastAsia" w:ascii="方正楷体_GBK" w:hAnsi="方正楷体_GBK" w:eastAsia="方正楷体_GBK" w:cs="方正楷体_GBK"/>
              <w:lang w:eastAsia="zh-CN"/>
            </w:rPr>
            <w:t>- 2 -</w:t>
          </w:r>
          <w:r>
            <w:rPr>
              <w:rFonts w:hint="eastAsia" w:ascii="方正楷体_GBK" w:hAnsi="方正楷体_GBK" w:eastAsia="方正楷体_GBK" w:cs="方正楷体_GBK"/>
              <w:lang w:eastAsia="zh-CN"/>
            </w:rPr>
            <w:fldChar w:fldCharType="end"/>
          </w:r>
          <w:r>
            <w:rPr>
              <w:rFonts w:hint="eastAsia" w:ascii="方正楷体_GBK" w:hAnsi="方正楷体_GBK" w:eastAsia="方正楷体_GBK" w:cs="方正楷体_GBK"/>
              <w:lang w:eastAsia="zh-CN"/>
            </w:rPr>
            <w:fldChar w:fldCharType="end"/>
          </w:r>
        </w:p>
        <w:p w14:paraId="115D405F">
          <w:pPr>
            <w:pStyle w:val="13"/>
            <w:keepNext w:val="0"/>
            <w:keepLines w:val="0"/>
            <w:pageBreakBefore w:val="0"/>
            <w:widowControl w:val="0"/>
            <w:tabs>
              <w:tab w:val="right" w:leader="dot" w:pos="8788"/>
            </w:tabs>
            <w:kinsoku/>
            <w:wordWrap/>
            <w:overflowPunct/>
            <w:topLinePunct w:val="0"/>
            <w:autoSpaceDE/>
            <w:autoSpaceDN/>
            <w:bidi w:val="0"/>
            <w:adjustRightInd/>
            <w:snapToGrid/>
            <w:spacing w:line="540" w:lineRule="exact"/>
            <w:textAlignment w:val="auto"/>
            <w:rPr>
              <w:rFonts w:hint="eastAsia" w:ascii="方正楷体_GBK" w:hAnsi="方正楷体_GBK" w:eastAsia="方正楷体_GBK" w:cs="方正楷体_GBK"/>
              <w:lang w:eastAsia="zh-CN"/>
            </w:rPr>
          </w:pPr>
          <w:r>
            <w:rPr>
              <w:rFonts w:hint="eastAsia" w:ascii="方正楷体_GBK" w:hAnsi="方正楷体_GBK" w:eastAsia="方正楷体_GBK" w:cs="方正楷体_GBK"/>
              <w:lang w:eastAsia="zh-CN"/>
            </w:rPr>
            <w:fldChar w:fldCharType="begin"/>
          </w:r>
          <w:r>
            <w:rPr>
              <w:rFonts w:hint="eastAsia" w:ascii="方正楷体_GBK" w:hAnsi="方正楷体_GBK" w:eastAsia="方正楷体_GBK" w:cs="方正楷体_GBK"/>
              <w:lang w:eastAsia="zh-CN"/>
            </w:rPr>
            <w:instrText xml:space="preserve"> HYPERLINK \l _Toc27564 </w:instrText>
          </w:r>
          <w:r>
            <w:rPr>
              <w:rFonts w:hint="eastAsia" w:ascii="方正楷体_GBK" w:hAnsi="方正楷体_GBK" w:eastAsia="方正楷体_GBK" w:cs="方正楷体_GBK"/>
              <w:lang w:eastAsia="zh-CN"/>
            </w:rPr>
            <w:fldChar w:fldCharType="separate"/>
          </w:r>
          <w:r>
            <w:rPr>
              <w:rFonts w:hint="eastAsia" w:ascii="方正楷体_GBK" w:hAnsi="方正楷体_GBK" w:eastAsia="方正楷体_GBK" w:cs="方正楷体_GBK"/>
              <w:lang w:eastAsia="zh-CN"/>
            </w:rPr>
            <w:t>（三）除尘室布局情况</w:t>
          </w:r>
          <w:r>
            <w:rPr>
              <w:rFonts w:hint="eastAsia" w:ascii="方正楷体_GBK" w:hAnsi="方正楷体_GBK" w:eastAsia="方正楷体_GBK" w:cs="方正楷体_GBK"/>
              <w:lang w:eastAsia="zh-CN"/>
            </w:rPr>
            <w:tab/>
          </w:r>
          <w:r>
            <w:rPr>
              <w:rFonts w:hint="eastAsia" w:ascii="方正楷体_GBK" w:hAnsi="方正楷体_GBK" w:eastAsia="方正楷体_GBK" w:cs="方正楷体_GBK"/>
              <w:lang w:eastAsia="zh-CN"/>
            </w:rPr>
            <w:fldChar w:fldCharType="begin"/>
          </w:r>
          <w:r>
            <w:rPr>
              <w:rFonts w:hint="eastAsia" w:ascii="方正楷体_GBK" w:hAnsi="方正楷体_GBK" w:eastAsia="方正楷体_GBK" w:cs="方正楷体_GBK"/>
              <w:lang w:eastAsia="zh-CN"/>
            </w:rPr>
            <w:instrText xml:space="preserve"> PAGEREF _Toc27564 \h </w:instrText>
          </w:r>
          <w:r>
            <w:rPr>
              <w:rFonts w:hint="eastAsia" w:ascii="方正楷体_GBK" w:hAnsi="方正楷体_GBK" w:eastAsia="方正楷体_GBK" w:cs="方正楷体_GBK"/>
              <w:lang w:eastAsia="zh-CN"/>
            </w:rPr>
            <w:fldChar w:fldCharType="separate"/>
          </w:r>
          <w:r>
            <w:rPr>
              <w:rFonts w:hint="eastAsia" w:ascii="方正楷体_GBK" w:hAnsi="方正楷体_GBK" w:eastAsia="方正楷体_GBK" w:cs="方正楷体_GBK"/>
              <w:lang w:eastAsia="zh-CN"/>
            </w:rPr>
            <w:t>- 2 -</w:t>
          </w:r>
          <w:r>
            <w:rPr>
              <w:rFonts w:hint="eastAsia" w:ascii="方正楷体_GBK" w:hAnsi="方正楷体_GBK" w:eastAsia="方正楷体_GBK" w:cs="方正楷体_GBK"/>
              <w:lang w:eastAsia="zh-CN"/>
            </w:rPr>
            <w:fldChar w:fldCharType="end"/>
          </w:r>
          <w:r>
            <w:rPr>
              <w:rFonts w:hint="eastAsia" w:ascii="方正楷体_GBK" w:hAnsi="方正楷体_GBK" w:eastAsia="方正楷体_GBK" w:cs="方正楷体_GBK"/>
              <w:lang w:eastAsia="zh-CN"/>
            </w:rPr>
            <w:fldChar w:fldCharType="end"/>
          </w:r>
        </w:p>
        <w:p w14:paraId="108B1A77">
          <w:pPr>
            <w:pStyle w:val="13"/>
            <w:keepNext w:val="0"/>
            <w:keepLines w:val="0"/>
            <w:pageBreakBefore w:val="0"/>
            <w:widowControl w:val="0"/>
            <w:tabs>
              <w:tab w:val="right" w:leader="dot" w:pos="8788"/>
            </w:tabs>
            <w:kinsoku/>
            <w:wordWrap/>
            <w:overflowPunct/>
            <w:topLinePunct w:val="0"/>
            <w:autoSpaceDE/>
            <w:autoSpaceDN/>
            <w:bidi w:val="0"/>
            <w:adjustRightInd/>
            <w:snapToGrid/>
            <w:spacing w:line="540" w:lineRule="exact"/>
            <w:textAlignment w:val="auto"/>
            <w:rPr>
              <w:rFonts w:hint="eastAsia" w:ascii="方正楷体_GBK" w:hAnsi="方正楷体_GBK" w:eastAsia="方正楷体_GBK" w:cs="方正楷体_GBK"/>
              <w:lang w:eastAsia="zh-CN"/>
            </w:rPr>
          </w:pPr>
          <w:r>
            <w:rPr>
              <w:rFonts w:hint="eastAsia" w:ascii="方正楷体_GBK" w:hAnsi="方正楷体_GBK" w:eastAsia="方正楷体_GBK" w:cs="方正楷体_GBK"/>
              <w:lang w:eastAsia="zh-CN"/>
            </w:rPr>
            <w:fldChar w:fldCharType="begin"/>
          </w:r>
          <w:r>
            <w:rPr>
              <w:rFonts w:hint="eastAsia" w:ascii="方正楷体_GBK" w:hAnsi="方正楷体_GBK" w:eastAsia="方正楷体_GBK" w:cs="方正楷体_GBK"/>
              <w:lang w:eastAsia="zh-CN"/>
            </w:rPr>
            <w:instrText xml:space="preserve"> HYPERLINK \l _Toc1888 </w:instrText>
          </w:r>
          <w:r>
            <w:rPr>
              <w:rFonts w:hint="eastAsia" w:ascii="方正楷体_GBK" w:hAnsi="方正楷体_GBK" w:eastAsia="方正楷体_GBK" w:cs="方正楷体_GBK"/>
              <w:lang w:eastAsia="zh-CN"/>
            </w:rPr>
            <w:fldChar w:fldCharType="separate"/>
          </w:r>
          <w:r>
            <w:rPr>
              <w:rFonts w:hint="eastAsia" w:ascii="方正楷体_GBK" w:hAnsi="方正楷体_GBK" w:eastAsia="方正楷体_GBK" w:cs="方正楷体_GBK"/>
              <w:lang w:eastAsia="zh-CN"/>
            </w:rPr>
            <w:t>（四）</w:t>
          </w:r>
          <w:r>
            <w:rPr>
              <w:rFonts w:hint="eastAsia" w:ascii="方正楷体_GBK" w:hAnsi="方正楷体_GBK" w:eastAsia="方正楷体_GBK" w:cs="方正楷体_GBK"/>
              <w:lang w:val="en-US" w:eastAsia="zh-CN"/>
            </w:rPr>
            <w:t>环保治理设施</w:t>
          </w:r>
          <w:r>
            <w:rPr>
              <w:rFonts w:hint="eastAsia" w:ascii="方正楷体_GBK" w:hAnsi="方正楷体_GBK" w:eastAsia="方正楷体_GBK" w:cs="方正楷体_GBK"/>
              <w:lang w:eastAsia="zh-CN"/>
            </w:rPr>
            <w:t>情况</w:t>
          </w:r>
          <w:r>
            <w:rPr>
              <w:rFonts w:hint="eastAsia" w:ascii="方正楷体_GBK" w:hAnsi="方正楷体_GBK" w:eastAsia="方正楷体_GBK" w:cs="方正楷体_GBK"/>
              <w:lang w:eastAsia="zh-CN"/>
            </w:rPr>
            <w:tab/>
          </w:r>
          <w:r>
            <w:rPr>
              <w:rFonts w:hint="eastAsia" w:ascii="方正楷体_GBK" w:hAnsi="方正楷体_GBK" w:eastAsia="方正楷体_GBK" w:cs="方正楷体_GBK"/>
              <w:lang w:eastAsia="zh-CN"/>
            </w:rPr>
            <w:fldChar w:fldCharType="begin"/>
          </w:r>
          <w:r>
            <w:rPr>
              <w:rFonts w:hint="eastAsia" w:ascii="方正楷体_GBK" w:hAnsi="方正楷体_GBK" w:eastAsia="方正楷体_GBK" w:cs="方正楷体_GBK"/>
              <w:lang w:eastAsia="zh-CN"/>
            </w:rPr>
            <w:instrText xml:space="preserve"> PAGEREF _Toc1888 \h </w:instrText>
          </w:r>
          <w:r>
            <w:rPr>
              <w:rFonts w:hint="eastAsia" w:ascii="方正楷体_GBK" w:hAnsi="方正楷体_GBK" w:eastAsia="方正楷体_GBK" w:cs="方正楷体_GBK"/>
              <w:lang w:eastAsia="zh-CN"/>
            </w:rPr>
            <w:fldChar w:fldCharType="separate"/>
          </w:r>
          <w:r>
            <w:rPr>
              <w:rFonts w:hint="eastAsia" w:ascii="方正楷体_GBK" w:hAnsi="方正楷体_GBK" w:eastAsia="方正楷体_GBK" w:cs="方正楷体_GBK"/>
              <w:lang w:eastAsia="zh-CN"/>
            </w:rPr>
            <w:t>- 2 -</w:t>
          </w:r>
          <w:r>
            <w:rPr>
              <w:rFonts w:hint="eastAsia" w:ascii="方正楷体_GBK" w:hAnsi="方正楷体_GBK" w:eastAsia="方正楷体_GBK" w:cs="方正楷体_GBK"/>
              <w:lang w:eastAsia="zh-CN"/>
            </w:rPr>
            <w:fldChar w:fldCharType="end"/>
          </w:r>
          <w:r>
            <w:rPr>
              <w:rFonts w:hint="eastAsia" w:ascii="方正楷体_GBK" w:hAnsi="方正楷体_GBK" w:eastAsia="方正楷体_GBK" w:cs="方正楷体_GBK"/>
              <w:lang w:eastAsia="zh-CN"/>
            </w:rPr>
            <w:fldChar w:fldCharType="end"/>
          </w:r>
        </w:p>
        <w:p w14:paraId="241CB05B">
          <w:pPr>
            <w:pStyle w:val="13"/>
            <w:keepNext w:val="0"/>
            <w:keepLines w:val="0"/>
            <w:pageBreakBefore w:val="0"/>
            <w:widowControl w:val="0"/>
            <w:tabs>
              <w:tab w:val="right" w:leader="dot" w:pos="8788"/>
            </w:tabs>
            <w:kinsoku/>
            <w:wordWrap/>
            <w:overflowPunct/>
            <w:topLinePunct w:val="0"/>
            <w:autoSpaceDE/>
            <w:autoSpaceDN/>
            <w:bidi w:val="0"/>
            <w:adjustRightInd/>
            <w:snapToGrid/>
            <w:spacing w:line="540" w:lineRule="exact"/>
            <w:textAlignment w:val="auto"/>
            <w:rPr>
              <w:rFonts w:hint="eastAsia" w:ascii="方正楷体_GBK" w:hAnsi="方正楷体_GBK" w:eastAsia="方正楷体_GBK" w:cs="方正楷体_GBK"/>
              <w:lang w:eastAsia="zh-CN"/>
            </w:rPr>
          </w:pPr>
          <w:r>
            <w:rPr>
              <w:rFonts w:hint="eastAsia" w:ascii="方正楷体_GBK" w:hAnsi="方正楷体_GBK" w:eastAsia="方正楷体_GBK" w:cs="方正楷体_GBK"/>
              <w:lang w:eastAsia="zh-CN"/>
            </w:rPr>
            <w:fldChar w:fldCharType="begin"/>
          </w:r>
          <w:r>
            <w:rPr>
              <w:rFonts w:hint="eastAsia" w:ascii="方正楷体_GBK" w:hAnsi="方正楷体_GBK" w:eastAsia="方正楷体_GBK" w:cs="方正楷体_GBK"/>
              <w:lang w:eastAsia="zh-CN"/>
            </w:rPr>
            <w:instrText xml:space="preserve"> HYPERLINK \l _Toc7323 </w:instrText>
          </w:r>
          <w:r>
            <w:rPr>
              <w:rFonts w:hint="eastAsia" w:ascii="方正楷体_GBK" w:hAnsi="方正楷体_GBK" w:eastAsia="方正楷体_GBK" w:cs="方正楷体_GBK"/>
              <w:lang w:eastAsia="zh-CN"/>
            </w:rPr>
            <w:fldChar w:fldCharType="separate"/>
          </w:r>
          <w:r>
            <w:rPr>
              <w:rFonts w:hint="eastAsia" w:ascii="方正楷体_GBK" w:hAnsi="方正楷体_GBK" w:eastAsia="方正楷体_GBK" w:cs="方正楷体_GBK"/>
              <w:lang w:val="en-US" w:eastAsia="zh-CN"/>
            </w:rPr>
            <w:t>（五）水箱情况</w:t>
          </w:r>
          <w:r>
            <w:rPr>
              <w:rFonts w:hint="eastAsia" w:ascii="方正楷体_GBK" w:hAnsi="方正楷体_GBK" w:eastAsia="方正楷体_GBK" w:cs="方正楷体_GBK"/>
              <w:lang w:eastAsia="zh-CN"/>
            </w:rPr>
            <w:tab/>
          </w:r>
          <w:r>
            <w:rPr>
              <w:rFonts w:hint="eastAsia" w:ascii="方正楷体_GBK" w:hAnsi="方正楷体_GBK" w:eastAsia="方正楷体_GBK" w:cs="方正楷体_GBK"/>
              <w:lang w:eastAsia="zh-CN"/>
            </w:rPr>
            <w:fldChar w:fldCharType="begin"/>
          </w:r>
          <w:r>
            <w:rPr>
              <w:rFonts w:hint="eastAsia" w:ascii="方正楷体_GBK" w:hAnsi="方正楷体_GBK" w:eastAsia="方正楷体_GBK" w:cs="方正楷体_GBK"/>
              <w:lang w:eastAsia="zh-CN"/>
            </w:rPr>
            <w:instrText xml:space="preserve"> PAGEREF _Toc7323 \h </w:instrText>
          </w:r>
          <w:r>
            <w:rPr>
              <w:rFonts w:hint="eastAsia" w:ascii="方正楷体_GBK" w:hAnsi="方正楷体_GBK" w:eastAsia="方正楷体_GBK" w:cs="方正楷体_GBK"/>
              <w:lang w:eastAsia="zh-CN"/>
            </w:rPr>
            <w:fldChar w:fldCharType="separate"/>
          </w:r>
          <w:r>
            <w:rPr>
              <w:rFonts w:hint="eastAsia" w:ascii="方正楷体_GBK" w:hAnsi="方正楷体_GBK" w:eastAsia="方正楷体_GBK" w:cs="方正楷体_GBK"/>
              <w:lang w:eastAsia="zh-CN"/>
            </w:rPr>
            <w:t>- 3 -</w:t>
          </w:r>
          <w:r>
            <w:rPr>
              <w:rFonts w:hint="eastAsia" w:ascii="方正楷体_GBK" w:hAnsi="方正楷体_GBK" w:eastAsia="方正楷体_GBK" w:cs="方正楷体_GBK"/>
              <w:lang w:eastAsia="zh-CN"/>
            </w:rPr>
            <w:fldChar w:fldCharType="end"/>
          </w:r>
          <w:r>
            <w:rPr>
              <w:rFonts w:hint="eastAsia" w:ascii="方正楷体_GBK" w:hAnsi="方正楷体_GBK" w:eastAsia="方正楷体_GBK" w:cs="方正楷体_GBK"/>
              <w:lang w:eastAsia="zh-CN"/>
            </w:rPr>
            <w:fldChar w:fldCharType="end"/>
          </w:r>
        </w:p>
        <w:p w14:paraId="6E746FF4">
          <w:pPr>
            <w:pStyle w:val="13"/>
            <w:keepNext w:val="0"/>
            <w:keepLines w:val="0"/>
            <w:pageBreakBefore w:val="0"/>
            <w:widowControl w:val="0"/>
            <w:tabs>
              <w:tab w:val="right" w:leader="dot" w:pos="8788"/>
            </w:tabs>
            <w:kinsoku/>
            <w:wordWrap/>
            <w:overflowPunct/>
            <w:topLinePunct w:val="0"/>
            <w:autoSpaceDE/>
            <w:autoSpaceDN/>
            <w:bidi w:val="0"/>
            <w:adjustRightInd/>
            <w:snapToGrid/>
            <w:spacing w:line="540" w:lineRule="exact"/>
            <w:textAlignment w:val="auto"/>
          </w:pPr>
          <w:r>
            <w:rPr>
              <w:rFonts w:hint="eastAsia" w:ascii="方正楷体_GBK" w:hAnsi="方正楷体_GBK" w:eastAsia="方正楷体_GBK" w:cs="方正楷体_GBK"/>
              <w:lang w:eastAsia="zh-CN"/>
            </w:rPr>
            <w:fldChar w:fldCharType="begin"/>
          </w:r>
          <w:r>
            <w:rPr>
              <w:rFonts w:hint="eastAsia" w:ascii="方正楷体_GBK" w:hAnsi="方正楷体_GBK" w:eastAsia="方正楷体_GBK" w:cs="方正楷体_GBK"/>
              <w:lang w:eastAsia="zh-CN"/>
            </w:rPr>
            <w:instrText xml:space="preserve"> HYPERLINK \l _Toc17044 </w:instrText>
          </w:r>
          <w:r>
            <w:rPr>
              <w:rFonts w:hint="eastAsia" w:ascii="方正楷体_GBK" w:hAnsi="方正楷体_GBK" w:eastAsia="方正楷体_GBK" w:cs="方正楷体_GBK"/>
              <w:lang w:eastAsia="zh-CN"/>
            </w:rPr>
            <w:fldChar w:fldCharType="separate"/>
          </w:r>
          <w:r>
            <w:rPr>
              <w:rFonts w:hint="eastAsia" w:ascii="方正楷体_GBK" w:hAnsi="方正楷体_GBK" w:eastAsia="方正楷体_GBK" w:cs="方正楷体_GBK"/>
              <w:lang w:val="en-US" w:eastAsia="zh-CN"/>
            </w:rPr>
            <w:t>（六）检测情况</w:t>
          </w:r>
          <w:r>
            <w:rPr>
              <w:rFonts w:hint="eastAsia" w:ascii="方正楷体_GBK" w:hAnsi="方正楷体_GBK" w:eastAsia="方正楷体_GBK" w:cs="方正楷体_GBK"/>
              <w:lang w:eastAsia="zh-CN"/>
            </w:rPr>
            <w:tab/>
          </w:r>
          <w:r>
            <w:rPr>
              <w:rFonts w:hint="eastAsia" w:ascii="方正楷体_GBK" w:hAnsi="方正楷体_GBK" w:eastAsia="方正楷体_GBK" w:cs="方正楷体_GBK"/>
              <w:lang w:eastAsia="zh-CN"/>
            </w:rPr>
            <w:fldChar w:fldCharType="begin"/>
          </w:r>
          <w:r>
            <w:rPr>
              <w:rFonts w:hint="eastAsia" w:ascii="方正楷体_GBK" w:hAnsi="方正楷体_GBK" w:eastAsia="方正楷体_GBK" w:cs="方正楷体_GBK"/>
              <w:lang w:eastAsia="zh-CN"/>
            </w:rPr>
            <w:instrText xml:space="preserve"> PAGEREF _Toc17044 \h </w:instrText>
          </w:r>
          <w:r>
            <w:rPr>
              <w:rFonts w:hint="eastAsia" w:ascii="方正楷体_GBK" w:hAnsi="方正楷体_GBK" w:eastAsia="方正楷体_GBK" w:cs="方正楷体_GBK"/>
              <w:lang w:eastAsia="zh-CN"/>
            </w:rPr>
            <w:fldChar w:fldCharType="separate"/>
          </w:r>
          <w:r>
            <w:rPr>
              <w:rFonts w:hint="eastAsia" w:ascii="方正楷体_GBK" w:hAnsi="方正楷体_GBK" w:eastAsia="方正楷体_GBK" w:cs="方正楷体_GBK"/>
              <w:lang w:eastAsia="zh-CN"/>
            </w:rPr>
            <w:t>- 4 -</w:t>
          </w:r>
          <w:r>
            <w:rPr>
              <w:rFonts w:hint="eastAsia" w:ascii="方正楷体_GBK" w:hAnsi="方正楷体_GBK" w:eastAsia="方正楷体_GBK" w:cs="方正楷体_GBK"/>
              <w:lang w:eastAsia="zh-CN"/>
            </w:rPr>
            <w:fldChar w:fldCharType="end"/>
          </w:r>
          <w:r>
            <w:rPr>
              <w:rFonts w:hint="eastAsia" w:ascii="方正楷体_GBK" w:hAnsi="方正楷体_GBK" w:eastAsia="方正楷体_GBK" w:cs="方正楷体_GBK"/>
              <w:lang w:eastAsia="zh-CN"/>
            </w:rPr>
            <w:fldChar w:fldCharType="end"/>
          </w:r>
        </w:p>
        <w:p w14:paraId="7BAF05AC">
          <w:pPr>
            <w:pStyle w:val="11"/>
            <w:keepNext w:val="0"/>
            <w:keepLines w:val="0"/>
            <w:pageBreakBefore w:val="0"/>
            <w:widowControl w:val="0"/>
            <w:tabs>
              <w:tab w:val="right" w:leader="dot" w:pos="8788"/>
            </w:tabs>
            <w:kinsoku/>
            <w:wordWrap/>
            <w:overflowPunct/>
            <w:topLinePunct w:val="0"/>
            <w:autoSpaceDE/>
            <w:autoSpaceDN/>
            <w:bidi w:val="0"/>
            <w:adjustRightInd/>
            <w:snapToGrid/>
            <w:spacing w:line="540" w:lineRule="exact"/>
            <w:textAlignment w:val="auto"/>
          </w:pPr>
          <w:r>
            <w:rPr>
              <w:rFonts w:hint="eastAsia"/>
              <w:lang w:eastAsia="zh-CN"/>
            </w:rPr>
            <w:fldChar w:fldCharType="begin"/>
          </w:r>
          <w:r>
            <w:rPr>
              <w:rFonts w:hint="eastAsia"/>
              <w:lang w:eastAsia="zh-CN"/>
            </w:rPr>
            <w:instrText xml:space="preserve"> HYPERLINK \l _Toc928 </w:instrText>
          </w:r>
          <w:r>
            <w:rPr>
              <w:rFonts w:hint="eastAsia"/>
              <w:lang w:eastAsia="zh-CN"/>
            </w:rPr>
            <w:fldChar w:fldCharType="separate"/>
          </w:r>
          <w:r>
            <w:rPr>
              <w:rFonts w:hint="eastAsia"/>
            </w:rPr>
            <w:t>二、事故发生的经过及应急处置情况</w:t>
          </w:r>
          <w:r>
            <w:rPr>
              <w:rFonts w:hint="eastAsia" w:ascii="方正楷体_GBK" w:hAnsi="方正楷体_GBK" w:eastAsia="方正楷体_GBK" w:cs="方正楷体_GBK"/>
              <w:kern w:val="2"/>
              <w:sz w:val="32"/>
              <w:lang w:val="en-US" w:eastAsia="zh-CN" w:bidi="ar-SA"/>
            </w:rPr>
            <w:tab/>
          </w:r>
          <w:r>
            <w:rPr>
              <w:rFonts w:hint="eastAsia" w:ascii="方正楷体_GBK" w:hAnsi="方正楷体_GBK" w:eastAsia="方正楷体_GBK" w:cs="方正楷体_GBK"/>
              <w:kern w:val="2"/>
              <w:sz w:val="32"/>
              <w:lang w:val="en-US" w:eastAsia="zh-CN" w:bidi="ar-SA"/>
            </w:rPr>
            <w:fldChar w:fldCharType="begin"/>
          </w:r>
          <w:r>
            <w:rPr>
              <w:rFonts w:hint="eastAsia" w:ascii="方正楷体_GBK" w:hAnsi="方正楷体_GBK" w:eastAsia="方正楷体_GBK" w:cs="方正楷体_GBK"/>
              <w:kern w:val="2"/>
              <w:sz w:val="32"/>
              <w:lang w:val="en-US" w:eastAsia="zh-CN" w:bidi="ar-SA"/>
            </w:rPr>
            <w:instrText xml:space="preserve"> PAGEREF _Toc928 \h </w:instrText>
          </w:r>
          <w:r>
            <w:rPr>
              <w:rFonts w:hint="eastAsia" w:ascii="方正楷体_GBK" w:hAnsi="方正楷体_GBK" w:eastAsia="方正楷体_GBK" w:cs="方正楷体_GBK"/>
              <w:kern w:val="2"/>
              <w:sz w:val="32"/>
              <w:lang w:val="en-US" w:eastAsia="zh-CN" w:bidi="ar-SA"/>
            </w:rPr>
            <w:fldChar w:fldCharType="separate"/>
          </w:r>
          <w:r>
            <w:rPr>
              <w:rFonts w:hint="eastAsia" w:ascii="方正楷体_GBK" w:hAnsi="方正楷体_GBK" w:eastAsia="方正楷体_GBK" w:cs="方正楷体_GBK"/>
              <w:kern w:val="2"/>
              <w:sz w:val="32"/>
              <w:lang w:val="en-US" w:eastAsia="zh-CN" w:bidi="ar-SA"/>
            </w:rPr>
            <w:t>- 4 -</w:t>
          </w:r>
          <w:r>
            <w:rPr>
              <w:rFonts w:hint="eastAsia" w:ascii="方正楷体_GBK" w:hAnsi="方正楷体_GBK" w:eastAsia="方正楷体_GBK" w:cs="方正楷体_GBK"/>
              <w:kern w:val="2"/>
              <w:sz w:val="32"/>
              <w:lang w:val="en-US" w:eastAsia="zh-CN" w:bidi="ar-SA"/>
            </w:rPr>
            <w:fldChar w:fldCharType="end"/>
          </w:r>
          <w:r>
            <w:rPr>
              <w:rFonts w:hint="eastAsia"/>
              <w:lang w:eastAsia="zh-CN"/>
            </w:rPr>
            <w:fldChar w:fldCharType="end"/>
          </w:r>
        </w:p>
        <w:p w14:paraId="71FE68A2">
          <w:pPr>
            <w:pStyle w:val="13"/>
            <w:keepNext w:val="0"/>
            <w:keepLines w:val="0"/>
            <w:pageBreakBefore w:val="0"/>
            <w:widowControl w:val="0"/>
            <w:tabs>
              <w:tab w:val="right" w:leader="dot" w:pos="8788"/>
            </w:tabs>
            <w:kinsoku/>
            <w:wordWrap/>
            <w:overflowPunct/>
            <w:topLinePunct w:val="0"/>
            <w:autoSpaceDE/>
            <w:autoSpaceDN/>
            <w:bidi w:val="0"/>
            <w:adjustRightInd/>
            <w:snapToGrid/>
            <w:spacing w:line="540" w:lineRule="exact"/>
            <w:textAlignment w:val="auto"/>
            <w:rPr>
              <w:rFonts w:hint="eastAsia" w:ascii="方正楷体_GBK" w:hAnsi="方正楷体_GBK" w:eastAsia="方正楷体_GBK" w:cs="方正楷体_GBK"/>
              <w:lang w:eastAsia="zh-CN"/>
            </w:rPr>
          </w:pPr>
          <w:r>
            <w:rPr>
              <w:rFonts w:hint="eastAsia" w:ascii="方正楷体_GBK" w:hAnsi="方正楷体_GBK" w:eastAsia="方正楷体_GBK" w:cs="方正楷体_GBK"/>
              <w:lang w:eastAsia="zh-CN"/>
            </w:rPr>
            <w:fldChar w:fldCharType="begin"/>
          </w:r>
          <w:r>
            <w:rPr>
              <w:rFonts w:hint="eastAsia" w:ascii="方正楷体_GBK" w:hAnsi="方正楷体_GBK" w:eastAsia="方正楷体_GBK" w:cs="方正楷体_GBK"/>
              <w:lang w:eastAsia="zh-CN"/>
            </w:rPr>
            <w:instrText xml:space="preserve"> HYPERLINK \l _Toc15300 </w:instrText>
          </w:r>
          <w:r>
            <w:rPr>
              <w:rFonts w:hint="eastAsia" w:ascii="方正楷体_GBK" w:hAnsi="方正楷体_GBK" w:eastAsia="方正楷体_GBK" w:cs="方正楷体_GBK"/>
              <w:lang w:eastAsia="zh-CN"/>
            </w:rPr>
            <w:fldChar w:fldCharType="separate"/>
          </w:r>
          <w:r>
            <w:rPr>
              <w:rFonts w:hint="eastAsia" w:ascii="方正楷体_GBK" w:hAnsi="方正楷体_GBK" w:eastAsia="方正楷体_GBK" w:cs="方正楷体_GBK"/>
              <w:lang w:val="en-US" w:eastAsia="zh-CN"/>
            </w:rPr>
            <w:t>（一）事故经过</w:t>
          </w:r>
          <w:r>
            <w:rPr>
              <w:rFonts w:hint="eastAsia" w:ascii="方正楷体_GBK" w:hAnsi="方正楷体_GBK" w:eastAsia="方正楷体_GBK" w:cs="方正楷体_GBK"/>
              <w:lang w:eastAsia="zh-CN"/>
            </w:rPr>
            <w:tab/>
          </w:r>
          <w:r>
            <w:rPr>
              <w:rFonts w:hint="eastAsia" w:ascii="方正楷体_GBK" w:hAnsi="方正楷体_GBK" w:eastAsia="方正楷体_GBK" w:cs="方正楷体_GBK"/>
              <w:lang w:eastAsia="zh-CN"/>
            </w:rPr>
            <w:fldChar w:fldCharType="begin"/>
          </w:r>
          <w:r>
            <w:rPr>
              <w:rFonts w:hint="eastAsia" w:ascii="方正楷体_GBK" w:hAnsi="方正楷体_GBK" w:eastAsia="方正楷体_GBK" w:cs="方正楷体_GBK"/>
              <w:lang w:eastAsia="zh-CN"/>
            </w:rPr>
            <w:instrText xml:space="preserve"> PAGEREF _Toc15300 \h </w:instrText>
          </w:r>
          <w:r>
            <w:rPr>
              <w:rFonts w:hint="eastAsia" w:ascii="方正楷体_GBK" w:hAnsi="方正楷体_GBK" w:eastAsia="方正楷体_GBK" w:cs="方正楷体_GBK"/>
              <w:lang w:eastAsia="zh-CN"/>
            </w:rPr>
            <w:fldChar w:fldCharType="separate"/>
          </w:r>
          <w:r>
            <w:rPr>
              <w:rFonts w:hint="eastAsia" w:ascii="方正楷体_GBK" w:hAnsi="方正楷体_GBK" w:eastAsia="方正楷体_GBK" w:cs="方正楷体_GBK"/>
              <w:lang w:eastAsia="zh-CN"/>
            </w:rPr>
            <w:t>- 4 -</w:t>
          </w:r>
          <w:r>
            <w:rPr>
              <w:rFonts w:hint="eastAsia" w:ascii="方正楷体_GBK" w:hAnsi="方正楷体_GBK" w:eastAsia="方正楷体_GBK" w:cs="方正楷体_GBK"/>
              <w:lang w:eastAsia="zh-CN"/>
            </w:rPr>
            <w:fldChar w:fldCharType="end"/>
          </w:r>
          <w:r>
            <w:rPr>
              <w:rFonts w:hint="eastAsia" w:ascii="方正楷体_GBK" w:hAnsi="方正楷体_GBK" w:eastAsia="方正楷体_GBK" w:cs="方正楷体_GBK"/>
              <w:lang w:eastAsia="zh-CN"/>
            </w:rPr>
            <w:fldChar w:fldCharType="end"/>
          </w:r>
        </w:p>
        <w:p w14:paraId="6945C27F">
          <w:pPr>
            <w:pStyle w:val="13"/>
            <w:keepNext w:val="0"/>
            <w:keepLines w:val="0"/>
            <w:pageBreakBefore w:val="0"/>
            <w:widowControl w:val="0"/>
            <w:tabs>
              <w:tab w:val="right" w:leader="dot" w:pos="8788"/>
            </w:tabs>
            <w:kinsoku/>
            <w:wordWrap/>
            <w:overflowPunct/>
            <w:topLinePunct w:val="0"/>
            <w:autoSpaceDE/>
            <w:autoSpaceDN/>
            <w:bidi w:val="0"/>
            <w:adjustRightInd/>
            <w:snapToGrid/>
            <w:spacing w:line="540" w:lineRule="exact"/>
            <w:textAlignment w:val="auto"/>
          </w:pPr>
          <w:r>
            <w:rPr>
              <w:rFonts w:hint="eastAsia" w:ascii="方正楷体_GBK" w:hAnsi="方正楷体_GBK" w:eastAsia="方正楷体_GBK" w:cs="方正楷体_GBK"/>
              <w:lang w:eastAsia="zh-CN"/>
            </w:rPr>
            <w:fldChar w:fldCharType="begin"/>
          </w:r>
          <w:r>
            <w:rPr>
              <w:rFonts w:hint="eastAsia" w:ascii="方正楷体_GBK" w:hAnsi="方正楷体_GBK" w:eastAsia="方正楷体_GBK" w:cs="方正楷体_GBK"/>
              <w:lang w:eastAsia="zh-CN"/>
            </w:rPr>
            <w:instrText xml:space="preserve"> HYPERLINK \l _Toc9450 </w:instrText>
          </w:r>
          <w:r>
            <w:rPr>
              <w:rFonts w:hint="eastAsia" w:ascii="方正楷体_GBK" w:hAnsi="方正楷体_GBK" w:eastAsia="方正楷体_GBK" w:cs="方正楷体_GBK"/>
              <w:lang w:eastAsia="zh-CN"/>
            </w:rPr>
            <w:fldChar w:fldCharType="separate"/>
          </w:r>
          <w:r>
            <w:rPr>
              <w:rFonts w:hint="eastAsia" w:ascii="方正楷体_GBK" w:hAnsi="方正楷体_GBK" w:eastAsia="方正楷体_GBK" w:cs="方正楷体_GBK"/>
              <w:lang w:val="en-US" w:eastAsia="zh-CN"/>
            </w:rPr>
            <w:t>（二）事故应急处置情况</w:t>
          </w:r>
          <w:r>
            <w:rPr>
              <w:rFonts w:hint="eastAsia" w:ascii="方正楷体_GBK" w:hAnsi="方正楷体_GBK" w:eastAsia="方正楷体_GBK" w:cs="方正楷体_GBK"/>
              <w:lang w:eastAsia="zh-CN"/>
            </w:rPr>
            <w:tab/>
          </w:r>
          <w:r>
            <w:rPr>
              <w:rFonts w:hint="eastAsia" w:ascii="方正楷体_GBK" w:hAnsi="方正楷体_GBK" w:eastAsia="方正楷体_GBK" w:cs="方正楷体_GBK"/>
              <w:lang w:eastAsia="zh-CN"/>
            </w:rPr>
            <w:fldChar w:fldCharType="begin"/>
          </w:r>
          <w:r>
            <w:rPr>
              <w:rFonts w:hint="eastAsia" w:ascii="方正楷体_GBK" w:hAnsi="方正楷体_GBK" w:eastAsia="方正楷体_GBK" w:cs="方正楷体_GBK"/>
              <w:lang w:eastAsia="zh-CN"/>
            </w:rPr>
            <w:instrText xml:space="preserve"> PAGEREF _Toc9450 \h </w:instrText>
          </w:r>
          <w:r>
            <w:rPr>
              <w:rFonts w:hint="eastAsia" w:ascii="方正楷体_GBK" w:hAnsi="方正楷体_GBK" w:eastAsia="方正楷体_GBK" w:cs="方正楷体_GBK"/>
              <w:lang w:eastAsia="zh-CN"/>
            </w:rPr>
            <w:fldChar w:fldCharType="separate"/>
          </w:r>
          <w:r>
            <w:rPr>
              <w:rFonts w:hint="eastAsia" w:ascii="方正楷体_GBK" w:hAnsi="方正楷体_GBK" w:eastAsia="方正楷体_GBK" w:cs="方正楷体_GBK"/>
              <w:lang w:eastAsia="zh-CN"/>
            </w:rPr>
            <w:t>- 6 -</w:t>
          </w:r>
          <w:r>
            <w:rPr>
              <w:rFonts w:hint="eastAsia" w:ascii="方正楷体_GBK" w:hAnsi="方正楷体_GBK" w:eastAsia="方正楷体_GBK" w:cs="方正楷体_GBK"/>
              <w:lang w:eastAsia="zh-CN"/>
            </w:rPr>
            <w:fldChar w:fldCharType="end"/>
          </w:r>
          <w:r>
            <w:rPr>
              <w:rFonts w:hint="eastAsia" w:ascii="方正楷体_GBK" w:hAnsi="方正楷体_GBK" w:eastAsia="方正楷体_GBK" w:cs="方正楷体_GBK"/>
              <w:lang w:eastAsia="zh-CN"/>
            </w:rPr>
            <w:fldChar w:fldCharType="end"/>
          </w:r>
        </w:p>
        <w:p w14:paraId="44F0CCAA">
          <w:pPr>
            <w:pStyle w:val="11"/>
            <w:keepNext w:val="0"/>
            <w:keepLines w:val="0"/>
            <w:pageBreakBefore w:val="0"/>
            <w:widowControl w:val="0"/>
            <w:tabs>
              <w:tab w:val="right" w:leader="dot" w:pos="8788"/>
            </w:tabs>
            <w:kinsoku/>
            <w:wordWrap/>
            <w:overflowPunct/>
            <w:topLinePunct w:val="0"/>
            <w:autoSpaceDE/>
            <w:autoSpaceDN/>
            <w:bidi w:val="0"/>
            <w:adjustRightInd/>
            <w:snapToGrid/>
            <w:spacing w:line="540" w:lineRule="exact"/>
            <w:textAlignment w:val="auto"/>
          </w:pPr>
          <w:r>
            <w:rPr>
              <w:rFonts w:hint="eastAsia"/>
              <w:lang w:eastAsia="zh-CN"/>
            </w:rPr>
            <w:fldChar w:fldCharType="begin"/>
          </w:r>
          <w:r>
            <w:rPr>
              <w:rFonts w:hint="eastAsia"/>
              <w:lang w:eastAsia="zh-CN"/>
            </w:rPr>
            <w:instrText xml:space="preserve"> HYPERLINK \l _Toc27252 </w:instrText>
          </w:r>
          <w:r>
            <w:rPr>
              <w:rFonts w:hint="eastAsia"/>
              <w:lang w:eastAsia="zh-CN"/>
            </w:rPr>
            <w:fldChar w:fldCharType="separate"/>
          </w:r>
          <w:r>
            <w:rPr>
              <w:rFonts w:hint="eastAsia"/>
            </w:rPr>
            <w:t>三、事故伤亡情况及直接经济损失</w:t>
          </w:r>
          <w:r>
            <w:rPr>
              <w:rFonts w:hint="eastAsia" w:ascii="方正楷体_GBK" w:hAnsi="方正楷体_GBK" w:eastAsia="方正楷体_GBK" w:cs="方正楷体_GBK"/>
              <w:kern w:val="2"/>
              <w:sz w:val="32"/>
              <w:lang w:val="en-US" w:eastAsia="zh-CN" w:bidi="ar-SA"/>
            </w:rPr>
            <w:tab/>
          </w:r>
          <w:r>
            <w:rPr>
              <w:rFonts w:hint="eastAsia" w:ascii="方正楷体_GBK" w:hAnsi="方正楷体_GBK" w:eastAsia="方正楷体_GBK" w:cs="方正楷体_GBK"/>
              <w:kern w:val="2"/>
              <w:sz w:val="32"/>
              <w:lang w:val="en-US" w:eastAsia="zh-CN" w:bidi="ar-SA"/>
            </w:rPr>
            <w:fldChar w:fldCharType="begin"/>
          </w:r>
          <w:r>
            <w:rPr>
              <w:rFonts w:hint="eastAsia" w:ascii="方正楷体_GBK" w:hAnsi="方正楷体_GBK" w:eastAsia="方正楷体_GBK" w:cs="方正楷体_GBK"/>
              <w:kern w:val="2"/>
              <w:sz w:val="32"/>
              <w:lang w:val="en-US" w:eastAsia="zh-CN" w:bidi="ar-SA"/>
            </w:rPr>
            <w:instrText xml:space="preserve"> PAGEREF _Toc27252 \h </w:instrText>
          </w:r>
          <w:r>
            <w:rPr>
              <w:rFonts w:hint="eastAsia" w:ascii="方正楷体_GBK" w:hAnsi="方正楷体_GBK" w:eastAsia="方正楷体_GBK" w:cs="方正楷体_GBK"/>
              <w:kern w:val="2"/>
              <w:sz w:val="32"/>
              <w:lang w:val="en-US" w:eastAsia="zh-CN" w:bidi="ar-SA"/>
            </w:rPr>
            <w:fldChar w:fldCharType="separate"/>
          </w:r>
          <w:r>
            <w:rPr>
              <w:rFonts w:hint="eastAsia" w:ascii="方正楷体_GBK" w:hAnsi="方正楷体_GBK" w:eastAsia="方正楷体_GBK" w:cs="方正楷体_GBK"/>
              <w:kern w:val="2"/>
              <w:sz w:val="32"/>
              <w:lang w:val="en-US" w:eastAsia="zh-CN" w:bidi="ar-SA"/>
            </w:rPr>
            <w:t>- 6 -</w:t>
          </w:r>
          <w:r>
            <w:rPr>
              <w:rFonts w:hint="eastAsia" w:ascii="方正楷体_GBK" w:hAnsi="方正楷体_GBK" w:eastAsia="方正楷体_GBK" w:cs="方正楷体_GBK"/>
              <w:kern w:val="2"/>
              <w:sz w:val="32"/>
              <w:lang w:val="en-US" w:eastAsia="zh-CN" w:bidi="ar-SA"/>
            </w:rPr>
            <w:fldChar w:fldCharType="end"/>
          </w:r>
          <w:r>
            <w:rPr>
              <w:rFonts w:hint="eastAsia"/>
              <w:lang w:eastAsia="zh-CN"/>
            </w:rPr>
            <w:fldChar w:fldCharType="end"/>
          </w:r>
        </w:p>
        <w:p w14:paraId="04A2009F">
          <w:pPr>
            <w:pStyle w:val="13"/>
            <w:keepNext w:val="0"/>
            <w:keepLines w:val="0"/>
            <w:pageBreakBefore w:val="0"/>
            <w:widowControl w:val="0"/>
            <w:tabs>
              <w:tab w:val="right" w:leader="dot" w:pos="8788"/>
            </w:tabs>
            <w:kinsoku/>
            <w:wordWrap/>
            <w:overflowPunct/>
            <w:topLinePunct w:val="0"/>
            <w:autoSpaceDE/>
            <w:autoSpaceDN/>
            <w:bidi w:val="0"/>
            <w:adjustRightInd/>
            <w:snapToGrid/>
            <w:spacing w:line="540" w:lineRule="exact"/>
            <w:textAlignment w:val="auto"/>
            <w:rPr>
              <w:rFonts w:hint="eastAsia" w:ascii="方正楷体_GBK" w:hAnsi="方正楷体_GBK" w:eastAsia="方正楷体_GBK" w:cs="方正楷体_GBK"/>
              <w:lang w:eastAsia="zh-CN"/>
            </w:rPr>
          </w:pPr>
          <w:r>
            <w:rPr>
              <w:rFonts w:hint="eastAsia" w:ascii="方正楷体_GBK" w:hAnsi="方正楷体_GBK" w:eastAsia="方正楷体_GBK" w:cs="方正楷体_GBK"/>
              <w:lang w:eastAsia="zh-CN"/>
            </w:rPr>
            <w:fldChar w:fldCharType="begin"/>
          </w:r>
          <w:r>
            <w:rPr>
              <w:rFonts w:hint="eastAsia" w:ascii="方正楷体_GBK" w:hAnsi="方正楷体_GBK" w:eastAsia="方正楷体_GBK" w:cs="方正楷体_GBK"/>
              <w:lang w:eastAsia="zh-CN"/>
            </w:rPr>
            <w:instrText xml:space="preserve"> HYPERLINK \l _Toc13781 </w:instrText>
          </w:r>
          <w:r>
            <w:rPr>
              <w:rFonts w:hint="eastAsia" w:ascii="方正楷体_GBK" w:hAnsi="方正楷体_GBK" w:eastAsia="方正楷体_GBK" w:cs="方正楷体_GBK"/>
              <w:lang w:eastAsia="zh-CN"/>
            </w:rPr>
            <w:fldChar w:fldCharType="separate"/>
          </w:r>
          <w:r>
            <w:rPr>
              <w:rFonts w:hint="eastAsia" w:ascii="方正楷体_GBK" w:hAnsi="方正楷体_GBK" w:eastAsia="方正楷体_GBK" w:cs="方正楷体_GBK"/>
              <w:lang w:eastAsia="zh-CN"/>
            </w:rPr>
            <w:t>（一）死亡人员情况</w:t>
          </w:r>
          <w:r>
            <w:rPr>
              <w:rFonts w:hint="eastAsia" w:ascii="方正楷体_GBK" w:hAnsi="方正楷体_GBK" w:eastAsia="方正楷体_GBK" w:cs="方正楷体_GBK"/>
              <w:lang w:eastAsia="zh-CN"/>
            </w:rPr>
            <w:tab/>
          </w:r>
          <w:r>
            <w:rPr>
              <w:rFonts w:hint="eastAsia" w:ascii="方正楷体_GBK" w:hAnsi="方正楷体_GBK" w:eastAsia="方正楷体_GBK" w:cs="方正楷体_GBK"/>
              <w:lang w:eastAsia="zh-CN"/>
            </w:rPr>
            <w:fldChar w:fldCharType="begin"/>
          </w:r>
          <w:r>
            <w:rPr>
              <w:rFonts w:hint="eastAsia" w:ascii="方正楷体_GBK" w:hAnsi="方正楷体_GBK" w:eastAsia="方正楷体_GBK" w:cs="方正楷体_GBK"/>
              <w:lang w:eastAsia="zh-CN"/>
            </w:rPr>
            <w:instrText xml:space="preserve"> PAGEREF _Toc13781 \h </w:instrText>
          </w:r>
          <w:r>
            <w:rPr>
              <w:rFonts w:hint="eastAsia" w:ascii="方正楷体_GBK" w:hAnsi="方正楷体_GBK" w:eastAsia="方正楷体_GBK" w:cs="方正楷体_GBK"/>
              <w:lang w:eastAsia="zh-CN"/>
            </w:rPr>
            <w:fldChar w:fldCharType="separate"/>
          </w:r>
          <w:r>
            <w:rPr>
              <w:rFonts w:hint="eastAsia" w:ascii="方正楷体_GBK" w:hAnsi="方正楷体_GBK" w:eastAsia="方正楷体_GBK" w:cs="方正楷体_GBK"/>
              <w:lang w:eastAsia="zh-CN"/>
            </w:rPr>
            <w:t>- 6 -</w:t>
          </w:r>
          <w:r>
            <w:rPr>
              <w:rFonts w:hint="eastAsia" w:ascii="方正楷体_GBK" w:hAnsi="方正楷体_GBK" w:eastAsia="方正楷体_GBK" w:cs="方正楷体_GBK"/>
              <w:lang w:eastAsia="zh-CN"/>
            </w:rPr>
            <w:fldChar w:fldCharType="end"/>
          </w:r>
          <w:r>
            <w:rPr>
              <w:rFonts w:hint="eastAsia" w:ascii="方正楷体_GBK" w:hAnsi="方正楷体_GBK" w:eastAsia="方正楷体_GBK" w:cs="方正楷体_GBK"/>
              <w:lang w:eastAsia="zh-CN"/>
            </w:rPr>
            <w:fldChar w:fldCharType="end"/>
          </w:r>
        </w:p>
        <w:p w14:paraId="73CFA120">
          <w:pPr>
            <w:pStyle w:val="13"/>
            <w:keepNext w:val="0"/>
            <w:keepLines w:val="0"/>
            <w:pageBreakBefore w:val="0"/>
            <w:widowControl w:val="0"/>
            <w:tabs>
              <w:tab w:val="right" w:leader="dot" w:pos="8788"/>
            </w:tabs>
            <w:kinsoku/>
            <w:wordWrap/>
            <w:overflowPunct/>
            <w:topLinePunct w:val="0"/>
            <w:autoSpaceDE/>
            <w:autoSpaceDN/>
            <w:bidi w:val="0"/>
            <w:adjustRightInd/>
            <w:snapToGrid/>
            <w:spacing w:line="540" w:lineRule="exact"/>
            <w:textAlignment w:val="auto"/>
          </w:pPr>
          <w:r>
            <w:rPr>
              <w:rFonts w:hint="eastAsia" w:ascii="方正楷体_GBK" w:hAnsi="方正楷体_GBK" w:eastAsia="方正楷体_GBK" w:cs="方正楷体_GBK"/>
              <w:lang w:eastAsia="zh-CN"/>
            </w:rPr>
            <w:fldChar w:fldCharType="begin"/>
          </w:r>
          <w:r>
            <w:rPr>
              <w:rFonts w:hint="eastAsia" w:ascii="方正楷体_GBK" w:hAnsi="方正楷体_GBK" w:eastAsia="方正楷体_GBK" w:cs="方正楷体_GBK"/>
              <w:lang w:eastAsia="zh-CN"/>
            </w:rPr>
            <w:instrText xml:space="preserve"> HYPERLINK \l _Toc25317 </w:instrText>
          </w:r>
          <w:r>
            <w:rPr>
              <w:rFonts w:hint="eastAsia" w:ascii="方正楷体_GBK" w:hAnsi="方正楷体_GBK" w:eastAsia="方正楷体_GBK" w:cs="方正楷体_GBK"/>
              <w:lang w:eastAsia="zh-CN"/>
            </w:rPr>
            <w:fldChar w:fldCharType="separate"/>
          </w:r>
          <w:r>
            <w:rPr>
              <w:rFonts w:hint="eastAsia" w:ascii="方正楷体_GBK" w:hAnsi="方正楷体_GBK" w:eastAsia="方正楷体_GBK" w:cs="方正楷体_GBK"/>
              <w:lang w:eastAsia="zh-CN"/>
            </w:rPr>
            <w:t>（二）事故直接经济损失</w:t>
          </w:r>
          <w:r>
            <w:rPr>
              <w:rFonts w:hint="eastAsia" w:ascii="方正楷体_GBK" w:hAnsi="方正楷体_GBK" w:eastAsia="方正楷体_GBK" w:cs="方正楷体_GBK"/>
              <w:lang w:eastAsia="zh-CN"/>
            </w:rPr>
            <w:tab/>
          </w:r>
          <w:r>
            <w:rPr>
              <w:rFonts w:hint="eastAsia" w:ascii="方正楷体_GBK" w:hAnsi="方正楷体_GBK" w:eastAsia="方正楷体_GBK" w:cs="方正楷体_GBK"/>
              <w:lang w:eastAsia="zh-CN"/>
            </w:rPr>
            <w:fldChar w:fldCharType="begin"/>
          </w:r>
          <w:r>
            <w:rPr>
              <w:rFonts w:hint="eastAsia" w:ascii="方正楷体_GBK" w:hAnsi="方正楷体_GBK" w:eastAsia="方正楷体_GBK" w:cs="方正楷体_GBK"/>
              <w:lang w:eastAsia="zh-CN"/>
            </w:rPr>
            <w:instrText xml:space="preserve"> PAGEREF _Toc25317 \h </w:instrText>
          </w:r>
          <w:r>
            <w:rPr>
              <w:rFonts w:hint="eastAsia" w:ascii="方正楷体_GBK" w:hAnsi="方正楷体_GBK" w:eastAsia="方正楷体_GBK" w:cs="方正楷体_GBK"/>
              <w:lang w:eastAsia="zh-CN"/>
            </w:rPr>
            <w:fldChar w:fldCharType="separate"/>
          </w:r>
          <w:r>
            <w:rPr>
              <w:rFonts w:hint="eastAsia" w:ascii="方正楷体_GBK" w:hAnsi="方正楷体_GBK" w:eastAsia="方正楷体_GBK" w:cs="方正楷体_GBK"/>
              <w:lang w:eastAsia="zh-CN"/>
            </w:rPr>
            <w:t>- 6 -</w:t>
          </w:r>
          <w:r>
            <w:rPr>
              <w:rFonts w:hint="eastAsia" w:ascii="方正楷体_GBK" w:hAnsi="方正楷体_GBK" w:eastAsia="方正楷体_GBK" w:cs="方正楷体_GBK"/>
              <w:lang w:eastAsia="zh-CN"/>
            </w:rPr>
            <w:fldChar w:fldCharType="end"/>
          </w:r>
          <w:r>
            <w:rPr>
              <w:rFonts w:hint="eastAsia" w:ascii="方正楷体_GBK" w:hAnsi="方正楷体_GBK" w:eastAsia="方正楷体_GBK" w:cs="方正楷体_GBK"/>
              <w:lang w:eastAsia="zh-CN"/>
            </w:rPr>
            <w:fldChar w:fldCharType="end"/>
          </w:r>
        </w:p>
        <w:p w14:paraId="226E513E">
          <w:pPr>
            <w:pStyle w:val="11"/>
            <w:keepNext w:val="0"/>
            <w:keepLines w:val="0"/>
            <w:pageBreakBefore w:val="0"/>
            <w:widowControl w:val="0"/>
            <w:tabs>
              <w:tab w:val="right" w:leader="dot" w:pos="8788"/>
            </w:tabs>
            <w:kinsoku/>
            <w:wordWrap/>
            <w:overflowPunct/>
            <w:topLinePunct w:val="0"/>
            <w:autoSpaceDE/>
            <w:autoSpaceDN/>
            <w:bidi w:val="0"/>
            <w:adjustRightInd/>
            <w:snapToGrid/>
            <w:spacing w:line="540" w:lineRule="exact"/>
            <w:textAlignment w:val="auto"/>
          </w:pPr>
          <w:r>
            <w:rPr>
              <w:rFonts w:hint="eastAsia"/>
              <w:lang w:eastAsia="zh-CN"/>
            </w:rPr>
            <w:fldChar w:fldCharType="begin"/>
          </w:r>
          <w:r>
            <w:rPr>
              <w:rFonts w:hint="eastAsia"/>
              <w:lang w:eastAsia="zh-CN"/>
            </w:rPr>
            <w:instrText xml:space="preserve"> HYPERLINK \l _Toc17549 </w:instrText>
          </w:r>
          <w:r>
            <w:rPr>
              <w:rFonts w:hint="eastAsia"/>
              <w:lang w:eastAsia="zh-CN"/>
            </w:rPr>
            <w:fldChar w:fldCharType="separate"/>
          </w:r>
          <w:r>
            <w:rPr>
              <w:rFonts w:hint="eastAsia"/>
            </w:rPr>
            <w:t>四、事故原因和</w:t>
          </w:r>
          <w:r>
            <w:t>性质</w:t>
          </w:r>
          <w:r>
            <w:rPr>
              <w:rFonts w:hint="eastAsia" w:ascii="方正楷体_GBK" w:hAnsi="方正楷体_GBK" w:eastAsia="方正楷体_GBK" w:cs="方正楷体_GBK"/>
              <w:kern w:val="2"/>
              <w:sz w:val="32"/>
              <w:lang w:val="en-US" w:eastAsia="zh-CN" w:bidi="ar-SA"/>
            </w:rPr>
            <w:tab/>
          </w:r>
          <w:r>
            <w:rPr>
              <w:rFonts w:hint="eastAsia" w:ascii="方正楷体_GBK" w:hAnsi="方正楷体_GBK" w:eastAsia="方正楷体_GBK" w:cs="方正楷体_GBK"/>
              <w:kern w:val="2"/>
              <w:sz w:val="32"/>
              <w:lang w:val="en-US" w:eastAsia="zh-CN" w:bidi="ar-SA"/>
            </w:rPr>
            <w:fldChar w:fldCharType="begin"/>
          </w:r>
          <w:r>
            <w:rPr>
              <w:rFonts w:hint="eastAsia" w:ascii="方正楷体_GBK" w:hAnsi="方正楷体_GBK" w:eastAsia="方正楷体_GBK" w:cs="方正楷体_GBK"/>
              <w:kern w:val="2"/>
              <w:sz w:val="32"/>
              <w:lang w:val="en-US" w:eastAsia="zh-CN" w:bidi="ar-SA"/>
            </w:rPr>
            <w:instrText xml:space="preserve"> PAGEREF _Toc17549 \h </w:instrText>
          </w:r>
          <w:r>
            <w:rPr>
              <w:rFonts w:hint="eastAsia" w:ascii="方正楷体_GBK" w:hAnsi="方正楷体_GBK" w:eastAsia="方正楷体_GBK" w:cs="方正楷体_GBK"/>
              <w:kern w:val="2"/>
              <w:sz w:val="32"/>
              <w:lang w:val="en-US" w:eastAsia="zh-CN" w:bidi="ar-SA"/>
            </w:rPr>
            <w:fldChar w:fldCharType="separate"/>
          </w:r>
          <w:r>
            <w:rPr>
              <w:rFonts w:hint="eastAsia" w:ascii="方正楷体_GBK" w:hAnsi="方正楷体_GBK" w:eastAsia="方正楷体_GBK" w:cs="方正楷体_GBK"/>
              <w:kern w:val="2"/>
              <w:sz w:val="32"/>
              <w:lang w:val="en-US" w:eastAsia="zh-CN" w:bidi="ar-SA"/>
            </w:rPr>
            <w:t>- 6 -</w:t>
          </w:r>
          <w:r>
            <w:rPr>
              <w:rFonts w:hint="eastAsia" w:ascii="方正楷体_GBK" w:hAnsi="方正楷体_GBK" w:eastAsia="方正楷体_GBK" w:cs="方正楷体_GBK"/>
              <w:kern w:val="2"/>
              <w:sz w:val="32"/>
              <w:lang w:val="en-US" w:eastAsia="zh-CN" w:bidi="ar-SA"/>
            </w:rPr>
            <w:fldChar w:fldCharType="end"/>
          </w:r>
          <w:r>
            <w:rPr>
              <w:rFonts w:hint="eastAsia"/>
              <w:lang w:eastAsia="zh-CN"/>
            </w:rPr>
            <w:fldChar w:fldCharType="end"/>
          </w:r>
        </w:p>
        <w:p w14:paraId="27E4E9A4">
          <w:pPr>
            <w:pStyle w:val="13"/>
            <w:keepNext w:val="0"/>
            <w:keepLines w:val="0"/>
            <w:pageBreakBefore w:val="0"/>
            <w:widowControl w:val="0"/>
            <w:tabs>
              <w:tab w:val="right" w:leader="dot" w:pos="8788"/>
            </w:tabs>
            <w:kinsoku/>
            <w:wordWrap/>
            <w:overflowPunct/>
            <w:topLinePunct w:val="0"/>
            <w:autoSpaceDE/>
            <w:autoSpaceDN/>
            <w:bidi w:val="0"/>
            <w:adjustRightInd/>
            <w:snapToGrid/>
            <w:spacing w:line="540" w:lineRule="exact"/>
            <w:textAlignment w:val="auto"/>
            <w:rPr>
              <w:rFonts w:hint="eastAsia" w:ascii="方正楷体_GBK" w:hAnsi="方正楷体_GBK" w:eastAsia="方正楷体_GBK" w:cs="方正楷体_GBK"/>
              <w:lang w:eastAsia="zh-CN"/>
            </w:rPr>
          </w:pPr>
          <w:r>
            <w:rPr>
              <w:rFonts w:hint="eastAsia" w:ascii="方正楷体_GBK" w:hAnsi="方正楷体_GBK" w:eastAsia="方正楷体_GBK" w:cs="方正楷体_GBK"/>
              <w:lang w:eastAsia="zh-CN"/>
            </w:rPr>
            <w:fldChar w:fldCharType="begin"/>
          </w:r>
          <w:r>
            <w:rPr>
              <w:rFonts w:hint="eastAsia" w:ascii="方正楷体_GBK" w:hAnsi="方正楷体_GBK" w:eastAsia="方正楷体_GBK" w:cs="方正楷体_GBK"/>
              <w:lang w:eastAsia="zh-CN"/>
            </w:rPr>
            <w:instrText xml:space="preserve"> HYPERLINK \l _Toc25021 </w:instrText>
          </w:r>
          <w:r>
            <w:rPr>
              <w:rFonts w:hint="eastAsia" w:ascii="方正楷体_GBK" w:hAnsi="方正楷体_GBK" w:eastAsia="方正楷体_GBK" w:cs="方正楷体_GBK"/>
              <w:lang w:eastAsia="zh-CN"/>
            </w:rPr>
            <w:fldChar w:fldCharType="separate"/>
          </w:r>
          <w:r>
            <w:rPr>
              <w:rFonts w:hint="eastAsia" w:ascii="方正楷体_GBK" w:hAnsi="方正楷体_GBK" w:eastAsia="方正楷体_GBK" w:cs="方正楷体_GBK"/>
              <w:lang w:eastAsia="zh-CN"/>
            </w:rPr>
            <w:t>（一）事故直接原因</w:t>
          </w:r>
          <w:r>
            <w:rPr>
              <w:rFonts w:hint="eastAsia" w:ascii="方正楷体_GBK" w:hAnsi="方正楷体_GBK" w:eastAsia="方正楷体_GBK" w:cs="方正楷体_GBK"/>
              <w:lang w:eastAsia="zh-CN"/>
            </w:rPr>
            <w:tab/>
          </w:r>
          <w:r>
            <w:rPr>
              <w:rFonts w:hint="eastAsia" w:ascii="方正楷体_GBK" w:hAnsi="方正楷体_GBK" w:eastAsia="方正楷体_GBK" w:cs="方正楷体_GBK"/>
              <w:lang w:eastAsia="zh-CN"/>
            </w:rPr>
            <w:fldChar w:fldCharType="begin"/>
          </w:r>
          <w:r>
            <w:rPr>
              <w:rFonts w:hint="eastAsia" w:ascii="方正楷体_GBK" w:hAnsi="方正楷体_GBK" w:eastAsia="方正楷体_GBK" w:cs="方正楷体_GBK"/>
              <w:lang w:eastAsia="zh-CN"/>
            </w:rPr>
            <w:instrText xml:space="preserve"> PAGEREF _Toc25021 \h </w:instrText>
          </w:r>
          <w:r>
            <w:rPr>
              <w:rFonts w:hint="eastAsia" w:ascii="方正楷体_GBK" w:hAnsi="方正楷体_GBK" w:eastAsia="方正楷体_GBK" w:cs="方正楷体_GBK"/>
              <w:lang w:eastAsia="zh-CN"/>
            </w:rPr>
            <w:fldChar w:fldCharType="separate"/>
          </w:r>
          <w:r>
            <w:rPr>
              <w:rFonts w:hint="eastAsia" w:ascii="方正楷体_GBK" w:hAnsi="方正楷体_GBK" w:eastAsia="方正楷体_GBK" w:cs="方正楷体_GBK"/>
              <w:lang w:eastAsia="zh-CN"/>
            </w:rPr>
            <w:t>- 6 -</w:t>
          </w:r>
          <w:r>
            <w:rPr>
              <w:rFonts w:hint="eastAsia" w:ascii="方正楷体_GBK" w:hAnsi="方正楷体_GBK" w:eastAsia="方正楷体_GBK" w:cs="方正楷体_GBK"/>
              <w:lang w:eastAsia="zh-CN"/>
            </w:rPr>
            <w:fldChar w:fldCharType="end"/>
          </w:r>
          <w:r>
            <w:rPr>
              <w:rFonts w:hint="eastAsia" w:ascii="方正楷体_GBK" w:hAnsi="方正楷体_GBK" w:eastAsia="方正楷体_GBK" w:cs="方正楷体_GBK"/>
              <w:lang w:eastAsia="zh-CN"/>
            </w:rPr>
            <w:fldChar w:fldCharType="end"/>
          </w:r>
        </w:p>
        <w:p w14:paraId="24361D44">
          <w:pPr>
            <w:pStyle w:val="13"/>
            <w:keepNext w:val="0"/>
            <w:keepLines w:val="0"/>
            <w:pageBreakBefore w:val="0"/>
            <w:widowControl w:val="0"/>
            <w:tabs>
              <w:tab w:val="right" w:leader="dot" w:pos="8788"/>
            </w:tabs>
            <w:kinsoku/>
            <w:wordWrap/>
            <w:overflowPunct/>
            <w:topLinePunct w:val="0"/>
            <w:autoSpaceDE/>
            <w:autoSpaceDN/>
            <w:bidi w:val="0"/>
            <w:adjustRightInd/>
            <w:snapToGrid/>
            <w:spacing w:line="540" w:lineRule="exact"/>
            <w:textAlignment w:val="auto"/>
            <w:rPr>
              <w:rFonts w:hint="eastAsia" w:ascii="方正楷体_GBK" w:hAnsi="方正楷体_GBK" w:eastAsia="方正楷体_GBK" w:cs="方正楷体_GBK"/>
              <w:lang w:eastAsia="zh-CN"/>
            </w:rPr>
          </w:pPr>
          <w:r>
            <w:rPr>
              <w:rFonts w:hint="eastAsia" w:ascii="方正楷体_GBK" w:hAnsi="方正楷体_GBK" w:eastAsia="方正楷体_GBK" w:cs="方正楷体_GBK"/>
              <w:lang w:eastAsia="zh-CN"/>
            </w:rPr>
            <w:fldChar w:fldCharType="begin"/>
          </w:r>
          <w:r>
            <w:rPr>
              <w:rFonts w:hint="eastAsia" w:ascii="方正楷体_GBK" w:hAnsi="方正楷体_GBK" w:eastAsia="方正楷体_GBK" w:cs="方正楷体_GBK"/>
              <w:lang w:eastAsia="zh-CN"/>
            </w:rPr>
            <w:instrText xml:space="preserve"> HYPERLINK \l _Toc3489 </w:instrText>
          </w:r>
          <w:r>
            <w:rPr>
              <w:rFonts w:hint="eastAsia" w:ascii="方正楷体_GBK" w:hAnsi="方正楷体_GBK" w:eastAsia="方正楷体_GBK" w:cs="方正楷体_GBK"/>
              <w:lang w:eastAsia="zh-CN"/>
            </w:rPr>
            <w:fldChar w:fldCharType="separate"/>
          </w:r>
          <w:r>
            <w:rPr>
              <w:rFonts w:hint="eastAsia" w:ascii="方正楷体_GBK" w:hAnsi="方正楷体_GBK" w:eastAsia="方正楷体_GBK" w:cs="方正楷体_GBK"/>
              <w:lang w:eastAsia="zh-CN"/>
            </w:rPr>
            <w:t>（二）事故间接原因</w:t>
          </w:r>
          <w:r>
            <w:rPr>
              <w:rFonts w:hint="eastAsia" w:ascii="方正楷体_GBK" w:hAnsi="方正楷体_GBK" w:eastAsia="方正楷体_GBK" w:cs="方正楷体_GBK"/>
              <w:lang w:eastAsia="zh-CN"/>
            </w:rPr>
            <w:tab/>
          </w:r>
          <w:r>
            <w:rPr>
              <w:rFonts w:hint="eastAsia" w:ascii="方正楷体_GBK" w:hAnsi="方正楷体_GBK" w:eastAsia="方正楷体_GBK" w:cs="方正楷体_GBK"/>
              <w:lang w:eastAsia="zh-CN"/>
            </w:rPr>
            <w:fldChar w:fldCharType="begin"/>
          </w:r>
          <w:r>
            <w:rPr>
              <w:rFonts w:hint="eastAsia" w:ascii="方正楷体_GBK" w:hAnsi="方正楷体_GBK" w:eastAsia="方正楷体_GBK" w:cs="方正楷体_GBK"/>
              <w:lang w:eastAsia="zh-CN"/>
            </w:rPr>
            <w:instrText xml:space="preserve"> PAGEREF _Toc3489 \h </w:instrText>
          </w:r>
          <w:r>
            <w:rPr>
              <w:rFonts w:hint="eastAsia" w:ascii="方正楷体_GBK" w:hAnsi="方正楷体_GBK" w:eastAsia="方正楷体_GBK" w:cs="方正楷体_GBK"/>
              <w:lang w:eastAsia="zh-CN"/>
            </w:rPr>
            <w:fldChar w:fldCharType="separate"/>
          </w:r>
          <w:r>
            <w:rPr>
              <w:rFonts w:hint="eastAsia" w:ascii="方正楷体_GBK" w:hAnsi="方正楷体_GBK" w:eastAsia="方正楷体_GBK" w:cs="方正楷体_GBK"/>
              <w:lang w:eastAsia="zh-CN"/>
            </w:rPr>
            <w:t>- 7 -</w:t>
          </w:r>
          <w:r>
            <w:rPr>
              <w:rFonts w:hint="eastAsia" w:ascii="方正楷体_GBK" w:hAnsi="方正楷体_GBK" w:eastAsia="方正楷体_GBK" w:cs="方正楷体_GBK"/>
              <w:lang w:eastAsia="zh-CN"/>
            </w:rPr>
            <w:fldChar w:fldCharType="end"/>
          </w:r>
          <w:r>
            <w:rPr>
              <w:rFonts w:hint="eastAsia" w:ascii="方正楷体_GBK" w:hAnsi="方正楷体_GBK" w:eastAsia="方正楷体_GBK" w:cs="方正楷体_GBK"/>
              <w:lang w:eastAsia="zh-CN"/>
            </w:rPr>
            <w:fldChar w:fldCharType="end"/>
          </w:r>
        </w:p>
        <w:p w14:paraId="2BE8F54E">
          <w:pPr>
            <w:pStyle w:val="13"/>
            <w:keepNext w:val="0"/>
            <w:keepLines w:val="0"/>
            <w:pageBreakBefore w:val="0"/>
            <w:widowControl w:val="0"/>
            <w:tabs>
              <w:tab w:val="right" w:leader="dot" w:pos="8788"/>
            </w:tabs>
            <w:kinsoku/>
            <w:wordWrap/>
            <w:overflowPunct/>
            <w:topLinePunct w:val="0"/>
            <w:autoSpaceDE/>
            <w:autoSpaceDN/>
            <w:bidi w:val="0"/>
            <w:adjustRightInd/>
            <w:snapToGrid/>
            <w:spacing w:line="540" w:lineRule="exact"/>
            <w:textAlignment w:val="auto"/>
          </w:pPr>
          <w:r>
            <w:rPr>
              <w:rFonts w:hint="eastAsia" w:ascii="方正楷体_GBK" w:hAnsi="方正楷体_GBK" w:eastAsia="方正楷体_GBK" w:cs="方正楷体_GBK"/>
              <w:lang w:eastAsia="zh-CN"/>
            </w:rPr>
            <w:fldChar w:fldCharType="begin"/>
          </w:r>
          <w:r>
            <w:rPr>
              <w:rFonts w:hint="eastAsia" w:ascii="方正楷体_GBK" w:hAnsi="方正楷体_GBK" w:eastAsia="方正楷体_GBK" w:cs="方正楷体_GBK"/>
              <w:lang w:eastAsia="zh-CN"/>
            </w:rPr>
            <w:instrText xml:space="preserve"> HYPERLINK \l _Toc25038 </w:instrText>
          </w:r>
          <w:r>
            <w:rPr>
              <w:rFonts w:hint="eastAsia" w:ascii="方正楷体_GBK" w:hAnsi="方正楷体_GBK" w:eastAsia="方正楷体_GBK" w:cs="方正楷体_GBK"/>
              <w:lang w:eastAsia="zh-CN"/>
            </w:rPr>
            <w:fldChar w:fldCharType="separate"/>
          </w:r>
          <w:r>
            <w:rPr>
              <w:rFonts w:hint="eastAsia" w:ascii="方正楷体_GBK" w:hAnsi="方正楷体_GBK" w:eastAsia="方正楷体_GBK" w:cs="方正楷体_GBK"/>
              <w:lang w:eastAsia="zh-CN"/>
            </w:rPr>
            <w:t>（三）事故性质</w:t>
          </w:r>
          <w:r>
            <w:rPr>
              <w:rFonts w:hint="eastAsia" w:ascii="方正楷体_GBK" w:hAnsi="方正楷体_GBK" w:eastAsia="方正楷体_GBK" w:cs="方正楷体_GBK"/>
              <w:lang w:eastAsia="zh-CN"/>
            </w:rPr>
            <w:tab/>
          </w:r>
          <w:r>
            <w:rPr>
              <w:rFonts w:hint="eastAsia" w:ascii="方正楷体_GBK" w:hAnsi="方正楷体_GBK" w:eastAsia="方正楷体_GBK" w:cs="方正楷体_GBK"/>
              <w:lang w:eastAsia="zh-CN"/>
            </w:rPr>
            <w:fldChar w:fldCharType="begin"/>
          </w:r>
          <w:r>
            <w:rPr>
              <w:rFonts w:hint="eastAsia" w:ascii="方正楷体_GBK" w:hAnsi="方正楷体_GBK" w:eastAsia="方正楷体_GBK" w:cs="方正楷体_GBK"/>
              <w:lang w:eastAsia="zh-CN"/>
            </w:rPr>
            <w:instrText xml:space="preserve"> PAGEREF _Toc25038 \h </w:instrText>
          </w:r>
          <w:r>
            <w:rPr>
              <w:rFonts w:hint="eastAsia" w:ascii="方正楷体_GBK" w:hAnsi="方正楷体_GBK" w:eastAsia="方正楷体_GBK" w:cs="方正楷体_GBK"/>
              <w:lang w:eastAsia="zh-CN"/>
            </w:rPr>
            <w:fldChar w:fldCharType="separate"/>
          </w:r>
          <w:r>
            <w:rPr>
              <w:rFonts w:hint="eastAsia" w:ascii="方正楷体_GBK" w:hAnsi="方正楷体_GBK" w:eastAsia="方正楷体_GBK" w:cs="方正楷体_GBK"/>
              <w:lang w:eastAsia="zh-CN"/>
            </w:rPr>
            <w:t>- 7 -</w:t>
          </w:r>
          <w:r>
            <w:rPr>
              <w:rFonts w:hint="eastAsia" w:ascii="方正楷体_GBK" w:hAnsi="方正楷体_GBK" w:eastAsia="方正楷体_GBK" w:cs="方正楷体_GBK"/>
              <w:lang w:eastAsia="zh-CN"/>
            </w:rPr>
            <w:fldChar w:fldCharType="end"/>
          </w:r>
          <w:r>
            <w:rPr>
              <w:rFonts w:hint="eastAsia" w:ascii="方正楷体_GBK" w:hAnsi="方正楷体_GBK" w:eastAsia="方正楷体_GBK" w:cs="方正楷体_GBK"/>
              <w:lang w:eastAsia="zh-CN"/>
            </w:rPr>
            <w:fldChar w:fldCharType="end"/>
          </w:r>
        </w:p>
        <w:p w14:paraId="42BB919B">
          <w:pPr>
            <w:pStyle w:val="11"/>
            <w:keepNext w:val="0"/>
            <w:keepLines w:val="0"/>
            <w:pageBreakBefore w:val="0"/>
            <w:widowControl w:val="0"/>
            <w:tabs>
              <w:tab w:val="right" w:leader="dot" w:pos="8788"/>
            </w:tabs>
            <w:kinsoku/>
            <w:wordWrap/>
            <w:overflowPunct/>
            <w:topLinePunct w:val="0"/>
            <w:autoSpaceDE/>
            <w:autoSpaceDN/>
            <w:bidi w:val="0"/>
            <w:adjustRightInd/>
            <w:snapToGrid/>
            <w:spacing w:line="540" w:lineRule="exact"/>
            <w:textAlignment w:val="auto"/>
          </w:pPr>
          <w:r>
            <w:rPr>
              <w:rFonts w:hint="eastAsia"/>
              <w:lang w:eastAsia="zh-CN"/>
            </w:rPr>
            <w:fldChar w:fldCharType="begin"/>
          </w:r>
          <w:r>
            <w:rPr>
              <w:rFonts w:hint="eastAsia"/>
              <w:lang w:eastAsia="zh-CN"/>
            </w:rPr>
            <w:instrText xml:space="preserve"> HYPERLINK \l _Toc30511 </w:instrText>
          </w:r>
          <w:r>
            <w:rPr>
              <w:rFonts w:hint="eastAsia"/>
              <w:lang w:eastAsia="zh-CN"/>
            </w:rPr>
            <w:fldChar w:fldCharType="separate"/>
          </w:r>
          <w:r>
            <w:rPr>
              <w:rFonts w:hint="eastAsia"/>
            </w:rPr>
            <w:t>五、对有关责任</w:t>
          </w:r>
          <w:r>
            <w:t>人员</w:t>
          </w:r>
          <w:r>
            <w:rPr>
              <w:rFonts w:hint="eastAsia"/>
              <w:lang w:eastAsia="zh-CN"/>
            </w:rPr>
            <w:t>和责任单位</w:t>
          </w:r>
          <w:r>
            <w:rPr>
              <w:rFonts w:hint="eastAsia"/>
            </w:rPr>
            <w:t>的处理建议</w:t>
          </w:r>
          <w:r>
            <w:rPr>
              <w:rFonts w:hint="eastAsia" w:ascii="方正楷体_GBK" w:hAnsi="方正楷体_GBK" w:eastAsia="方正楷体_GBK" w:cs="方正楷体_GBK"/>
              <w:kern w:val="2"/>
              <w:sz w:val="32"/>
              <w:lang w:val="en-US" w:eastAsia="zh-CN" w:bidi="ar-SA"/>
            </w:rPr>
            <w:tab/>
          </w:r>
          <w:r>
            <w:rPr>
              <w:rFonts w:hint="eastAsia" w:ascii="方正楷体_GBK" w:hAnsi="方正楷体_GBK" w:eastAsia="方正楷体_GBK" w:cs="方正楷体_GBK"/>
              <w:kern w:val="2"/>
              <w:sz w:val="32"/>
              <w:lang w:val="en-US" w:eastAsia="zh-CN" w:bidi="ar-SA"/>
            </w:rPr>
            <w:fldChar w:fldCharType="begin"/>
          </w:r>
          <w:r>
            <w:rPr>
              <w:rFonts w:hint="eastAsia" w:ascii="方正楷体_GBK" w:hAnsi="方正楷体_GBK" w:eastAsia="方正楷体_GBK" w:cs="方正楷体_GBK"/>
              <w:kern w:val="2"/>
              <w:sz w:val="32"/>
              <w:lang w:val="en-US" w:eastAsia="zh-CN" w:bidi="ar-SA"/>
            </w:rPr>
            <w:instrText xml:space="preserve"> PAGEREF _Toc30511 \h </w:instrText>
          </w:r>
          <w:r>
            <w:rPr>
              <w:rFonts w:hint="eastAsia" w:ascii="方正楷体_GBK" w:hAnsi="方正楷体_GBK" w:eastAsia="方正楷体_GBK" w:cs="方正楷体_GBK"/>
              <w:kern w:val="2"/>
              <w:sz w:val="32"/>
              <w:lang w:val="en-US" w:eastAsia="zh-CN" w:bidi="ar-SA"/>
            </w:rPr>
            <w:fldChar w:fldCharType="separate"/>
          </w:r>
          <w:r>
            <w:rPr>
              <w:rFonts w:hint="eastAsia" w:ascii="方正楷体_GBK" w:hAnsi="方正楷体_GBK" w:eastAsia="方正楷体_GBK" w:cs="方正楷体_GBK"/>
              <w:kern w:val="2"/>
              <w:sz w:val="32"/>
              <w:lang w:val="en-US" w:eastAsia="zh-CN" w:bidi="ar-SA"/>
            </w:rPr>
            <w:t>- 8 -</w:t>
          </w:r>
          <w:r>
            <w:rPr>
              <w:rFonts w:hint="eastAsia" w:ascii="方正楷体_GBK" w:hAnsi="方正楷体_GBK" w:eastAsia="方正楷体_GBK" w:cs="方正楷体_GBK"/>
              <w:kern w:val="2"/>
              <w:sz w:val="32"/>
              <w:lang w:val="en-US" w:eastAsia="zh-CN" w:bidi="ar-SA"/>
            </w:rPr>
            <w:fldChar w:fldCharType="end"/>
          </w:r>
          <w:r>
            <w:rPr>
              <w:rFonts w:hint="eastAsia"/>
              <w:lang w:eastAsia="zh-CN"/>
            </w:rPr>
            <w:fldChar w:fldCharType="end"/>
          </w:r>
        </w:p>
        <w:p w14:paraId="42EE61B9">
          <w:pPr>
            <w:pStyle w:val="13"/>
            <w:keepNext w:val="0"/>
            <w:keepLines w:val="0"/>
            <w:pageBreakBefore w:val="0"/>
            <w:widowControl w:val="0"/>
            <w:tabs>
              <w:tab w:val="right" w:leader="dot" w:pos="8788"/>
            </w:tabs>
            <w:kinsoku/>
            <w:wordWrap/>
            <w:overflowPunct/>
            <w:topLinePunct w:val="0"/>
            <w:autoSpaceDE/>
            <w:autoSpaceDN/>
            <w:bidi w:val="0"/>
            <w:adjustRightInd/>
            <w:snapToGrid/>
            <w:spacing w:line="540" w:lineRule="exact"/>
            <w:textAlignment w:val="auto"/>
            <w:rPr>
              <w:rFonts w:hint="eastAsia" w:ascii="方正楷体_GBK" w:hAnsi="方正楷体_GBK" w:eastAsia="方正楷体_GBK" w:cs="方正楷体_GBK"/>
              <w:lang w:eastAsia="zh-CN"/>
            </w:rPr>
          </w:pPr>
          <w:r>
            <w:rPr>
              <w:rFonts w:hint="eastAsia" w:ascii="方正楷体_GBK" w:hAnsi="方正楷体_GBK" w:eastAsia="方正楷体_GBK" w:cs="方正楷体_GBK"/>
              <w:lang w:eastAsia="zh-CN"/>
            </w:rPr>
            <w:fldChar w:fldCharType="begin"/>
          </w:r>
          <w:r>
            <w:rPr>
              <w:rFonts w:hint="eastAsia" w:ascii="方正楷体_GBK" w:hAnsi="方正楷体_GBK" w:eastAsia="方正楷体_GBK" w:cs="方正楷体_GBK"/>
              <w:lang w:eastAsia="zh-CN"/>
            </w:rPr>
            <w:instrText xml:space="preserve"> HYPERLINK \l _Toc29951 </w:instrText>
          </w:r>
          <w:r>
            <w:rPr>
              <w:rFonts w:hint="eastAsia" w:ascii="方正楷体_GBK" w:hAnsi="方正楷体_GBK" w:eastAsia="方正楷体_GBK" w:cs="方正楷体_GBK"/>
              <w:lang w:eastAsia="zh-CN"/>
            </w:rPr>
            <w:fldChar w:fldCharType="separate"/>
          </w:r>
          <w:r>
            <w:rPr>
              <w:rFonts w:hint="eastAsia" w:ascii="方正楷体_GBK" w:hAnsi="方正楷体_GBK" w:eastAsia="方正楷体_GBK" w:cs="方正楷体_GBK"/>
              <w:lang w:eastAsia="zh-CN"/>
            </w:rPr>
            <w:t>（一）对有关公职人员的处理建议</w:t>
          </w:r>
          <w:r>
            <w:rPr>
              <w:rFonts w:hint="eastAsia" w:ascii="方正楷体_GBK" w:hAnsi="方正楷体_GBK" w:eastAsia="方正楷体_GBK" w:cs="方正楷体_GBK"/>
              <w:lang w:eastAsia="zh-CN"/>
            </w:rPr>
            <w:tab/>
          </w:r>
          <w:r>
            <w:rPr>
              <w:rFonts w:hint="eastAsia" w:ascii="方正楷体_GBK" w:hAnsi="方正楷体_GBK" w:eastAsia="方正楷体_GBK" w:cs="方正楷体_GBK"/>
              <w:lang w:eastAsia="zh-CN"/>
            </w:rPr>
            <w:fldChar w:fldCharType="begin"/>
          </w:r>
          <w:r>
            <w:rPr>
              <w:rFonts w:hint="eastAsia" w:ascii="方正楷体_GBK" w:hAnsi="方正楷体_GBK" w:eastAsia="方正楷体_GBK" w:cs="方正楷体_GBK"/>
              <w:lang w:eastAsia="zh-CN"/>
            </w:rPr>
            <w:instrText xml:space="preserve"> PAGEREF _Toc29951 \h </w:instrText>
          </w:r>
          <w:r>
            <w:rPr>
              <w:rFonts w:hint="eastAsia" w:ascii="方正楷体_GBK" w:hAnsi="方正楷体_GBK" w:eastAsia="方正楷体_GBK" w:cs="方正楷体_GBK"/>
              <w:lang w:eastAsia="zh-CN"/>
            </w:rPr>
            <w:fldChar w:fldCharType="separate"/>
          </w:r>
          <w:r>
            <w:rPr>
              <w:rFonts w:hint="eastAsia" w:ascii="方正楷体_GBK" w:hAnsi="方正楷体_GBK" w:eastAsia="方正楷体_GBK" w:cs="方正楷体_GBK"/>
              <w:lang w:eastAsia="zh-CN"/>
            </w:rPr>
            <w:t>- 8 -</w:t>
          </w:r>
          <w:r>
            <w:rPr>
              <w:rFonts w:hint="eastAsia" w:ascii="方正楷体_GBK" w:hAnsi="方正楷体_GBK" w:eastAsia="方正楷体_GBK" w:cs="方正楷体_GBK"/>
              <w:lang w:eastAsia="zh-CN"/>
            </w:rPr>
            <w:fldChar w:fldCharType="end"/>
          </w:r>
          <w:r>
            <w:rPr>
              <w:rFonts w:hint="eastAsia" w:ascii="方正楷体_GBK" w:hAnsi="方正楷体_GBK" w:eastAsia="方正楷体_GBK" w:cs="方正楷体_GBK"/>
              <w:lang w:eastAsia="zh-CN"/>
            </w:rPr>
            <w:fldChar w:fldCharType="end"/>
          </w:r>
        </w:p>
        <w:p w14:paraId="5939F2DD">
          <w:pPr>
            <w:pStyle w:val="13"/>
            <w:keepNext w:val="0"/>
            <w:keepLines w:val="0"/>
            <w:pageBreakBefore w:val="0"/>
            <w:widowControl w:val="0"/>
            <w:tabs>
              <w:tab w:val="right" w:leader="dot" w:pos="8788"/>
            </w:tabs>
            <w:kinsoku/>
            <w:wordWrap/>
            <w:overflowPunct/>
            <w:topLinePunct w:val="0"/>
            <w:autoSpaceDE/>
            <w:autoSpaceDN/>
            <w:bidi w:val="0"/>
            <w:adjustRightInd/>
            <w:snapToGrid/>
            <w:spacing w:line="540" w:lineRule="exact"/>
            <w:textAlignment w:val="auto"/>
            <w:rPr>
              <w:rFonts w:hint="eastAsia" w:ascii="方正楷体_GBK" w:hAnsi="方正楷体_GBK" w:eastAsia="方正楷体_GBK" w:cs="方正楷体_GBK"/>
              <w:lang w:eastAsia="zh-CN"/>
            </w:rPr>
          </w:pPr>
          <w:r>
            <w:rPr>
              <w:rFonts w:hint="eastAsia" w:ascii="方正楷体_GBK" w:hAnsi="方正楷体_GBK" w:eastAsia="方正楷体_GBK" w:cs="方正楷体_GBK"/>
              <w:lang w:eastAsia="zh-CN"/>
            </w:rPr>
            <w:fldChar w:fldCharType="begin"/>
          </w:r>
          <w:r>
            <w:rPr>
              <w:rFonts w:hint="eastAsia" w:ascii="方正楷体_GBK" w:hAnsi="方正楷体_GBK" w:eastAsia="方正楷体_GBK" w:cs="方正楷体_GBK"/>
              <w:lang w:eastAsia="zh-CN"/>
            </w:rPr>
            <w:instrText xml:space="preserve"> HYPERLINK \l _Toc9891 </w:instrText>
          </w:r>
          <w:r>
            <w:rPr>
              <w:rFonts w:hint="eastAsia" w:ascii="方正楷体_GBK" w:hAnsi="方正楷体_GBK" w:eastAsia="方正楷体_GBK" w:cs="方正楷体_GBK"/>
              <w:lang w:eastAsia="zh-CN"/>
            </w:rPr>
            <w:fldChar w:fldCharType="separate"/>
          </w:r>
          <w:r>
            <w:rPr>
              <w:rFonts w:hint="eastAsia" w:ascii="方正楷体_GBK" w:hAnsi="方正楷体_GBK" w:eastAsia="方正楷体_GBK" w:cs="方正楷体_GBK"/>
              <w:lang w:eastAsia="zh-CN"/>
            </w:rPr>
            <w:t>（二）对事故单位和责任人员的行政处罚建议</w:t>
          </w:r>
          <w:r>
            <w:rPr>
              <w:rFonts w:hint="eastAsia" w:ascii="方正楷体_GBK" w:hAnsi="方正楷体_GBK" w:eastAsia="方正楷体_GBK" w:cs="方正楷体_GBK"/>
              <w:lang w:eastAsia="zh-CN"/>
            </w:rPr>
            <w:tab/>
          </w:r>
          <w:r>
            <w:rPr>
              <w:rFonts w:hint="eastAsia" w:ascii="方正楷体_GBK" w:hAnsi="方正楷体_GBK" w:eastAsia="方正楷体_GBK" w:cs="方正楷体_GBK"/>
              <w:lang w:eastAsia="zh-CN"/>
            </w:rPr>
            <w:fldChar w:fldCharType="begin"/>
          </w:r>
          <w:r>
            <w:rPr>
              <w:rFonts w:hint="eastAsia" w:ascii="方正楷体_GBK" w:hAnsi="方正楷体_GBK" w:eastAsia="方正楷体_GBK" w:cs="方正楷体_GBK"/>
              <w:lang w:eastAsia="zh-CN"/>
            </w:rPr>
            <w:instrText xml:space="preserve"> PAGEREF _Toc9891 \h </w:instrText>
          </w:r>
          <w:r>
            <w:rPr>
              <w:rFonts w:hint="eastAsia" w:ascii="方正楷体_GBK" w:hAnsi="方正楷体_GBK" w:eastAsia="方正楷体_GBK" w:cs="方正楷体_GBK"/>
              <w:lang w:eastAsia="zh-CN"/>
            </w:rPr>
            <w:fldChar w:fldCharType="separate"/>
          </w:r>
          <w:r>
            <w:rPr>
              <w:rFonts w:hint="eastAsia" w:ascii="方正楷体_GBK" w:hAnsi="方正楷体_GBK" w:eastAsia="方正楷体_GBK" w:cs="方正楷体_GBK"/>
              <w:lang w:eastAsia="zh-CN"/>
            </w:rPr>
            <w:t>- 8 -</w:t>
          </w:r>
          <w:r>
            <w:rPr>
              <w:rFonts w:hint="eastAsia" w:ascii="方正楷体_GBK" w:hAnsi="方正楷体_GBK" w:eastAsia="方正楷体_GBK" w:cs="方正楷体_GBK"/>
              <w:lang w:eastAsia="zh-CN"/>
            </w:rPr>
            <w:fldChar w:fldCharType="end"/>
          </w:r>
          <w:r>
            <w:rPr>
              <w:rFonts w:hint="eastAsia" w:ascii="方正楷体_GBK" w:hAnsi="方正楷体_GBK" w:eastAsia="方正楷体_GBK" w:cs="方正楷体_GBK"/>
              <w:lang w:eastAsia="zh-CN"/>
            </w:rPr>
            <w:fldChar w:fldCharType="end"/>
          </w:r>
        </w:p>
        <w:p w14:paraId="01688D3F">
          <w:pPr>
            <w:pStyle w:val="13"/>
            <w:keepNext w:val="0"/>
            <w:keepLines w:val="0"/>
            <w:pageBreakBefore w:val="0"/>
            <w:widowControl w:val="0"/>
            <w:tabs>
              <w:tab w:val="right" w:leader="dot" w:pos="8788"/>
            </w:tabs>
            <w:kinsoku/>
            <w:wordWrap/>
            <w:overflowPunct/>
            <w:topLinePunct w:val="0"/>
            <w:autoSpaceDE/>
            <w:autoSpaceDN/>
            <w:bidi w:val="0"/>
            <w:adjustRightInd/>
            <w:snapToGrid/>
            <w:spacing w:line="540" w:lineRule="exact"/>
            <w:textAlignment w:val="auto"/>
            <w:rPr>
              <w:rFonts w:hint="eastAsia" w:ascii="方正楷体_GBK" w:hAnsi="方正楷体_GBK" w:eastAsia="方正楷体_GBK" w:cs="方正楷体_GBK"/>
              <w:lang w:eastAsia="zh-CN"/>
            </w:rPr>
          </w:pPr>
          <w:r>
            <w:rPr>
              <w:rFonts w:hint="eastAsia" w:ascii="方正楷体_GBK" w:hAnsi="方正楷体_GBK" w:eastAsia="方正楷体_GBK" w:cs="方正楷体_GBK"/>
              <w:lang w:eastAsia="zh-CN"/>
            </w:rPr>
            <w:fldChar w:fldCharType="begin"/>
          </w:r>
          <w:r>
            <w:rPr>
              <w:rFonts w:hint="eastAsia" w:ascii="方正楷体_GBK" w:hAnsi="方正楷体_GBK" w:eastAsia="方正楷体_GBK" w:cs="方正楷体_GBK"/>
              <w:lang w:eastAsia="zh-CN"/>
            </w:rPr>
            <w:instrText xml:space="preserve"> HYPERLINK \l _Toc8624 </w:instrText>
          </w:r>
          <w:r>
            <w:rPr>
              <w:rFonts w:hint="eastAsia" w:ascii="方正楷体_GBK" w:hAnsi="方正楷体_GBK" w:eastAsia="方正楷体_GBK" w:cs="方正楷体_GBK"/>
              <w:lang w:eastAsia="zh-CN"/>
            </w:rPr>
            <w:fldChar w:fldCharType="separate"/>
          </w:r>
          <w:r>
            <w:rPr>
              <w:rFonts w:hint="eastAsia" w:ascii="方正楷体_GBK" w:hAnsi="方正楷体_GBK" w:eastAsia="方正楷体_GBK" w:cs="方正楷体_GBK"/>
              <w:lang w:val="en-US" w:eastAsia="zh-CN"/>
            </w:rPr>
            <w:t>（三）其他处理建议</w:t>
          </w:r>
          <w:r>
            <w:rPr>
              <w:rFonts w:hint="eastAsia" w:ascii="方正楷体_GBK" w:hAnsi="方正楷体_GBK" w:eastAsia="方正楷体_GBK" w:cs="方正楷体_GBK"/>
              <w:lang w:eastAsia="zh-CN"/>
            </w:rPr>
            <w:tab/>
          </w:r>
          <w:r>
            <w:rPr>
              <w:rFonts w:hint="eastAsia" w:ascii="方正楷体_GBK" w:hAnsi="方正楷体_GBK" w:eastAsia="方正楷体_GBK" w:cs="方正楷体_GBK"/>
              <w:lang w:eastAsia="zh-CN"/>
            </w:rPr>
            <w:fldChar w:fldCharType="begin"/>
          </w:r>
          <w:r>
            <w:rPr>
              <w:rFonts w:hint="eastAsia" w:ascii="方正楷体_GBK" w:hAnsi="方正楷体_GBK" w:eastAsia="方正楷体_GBK" w:cs="方正楷体_GBK"/>
              <w:lang w:eastAsia="zh-CN"/>
            </w:rPr>
            <w:instrText xml:space="preserve"> PAGEREF _Toc8624 \h </w:instrText>
          </w:r>
          <w:r>
            <w:rPr>
              <w:rFonts w:hint="eastAsia" w:ascii="方正楷体_GBK" w:hAnsi="方正楷体_GBK" w:eastAsia="方正楷体_GBK" w:cs="方正楷体_GBK"/>
              <w:lang w:eastAsia="zh-CN"/>
            </w:rPr>
            <w:fldChar w:fldCharType="separate"/>
          </w:r>
          <w:r>
            <w:rPr>
              <w:rFonts w:hint="eastAsia" w:ascii="方正楷体_GBK" w:hAnsi="方正楷体_GBK" w:eastAsia="方正楷体_GBK" w:cs="方正楷体_GBK"/>
              <w:lang w:eastAsia="zh-CN"/>
            </w:rPr>
            <w:t>- 9 -</w:t>
          </w:r>
          <w:r>
            <w:rPr>
              <w:rFonts w:hint="eastAsia" w:ascii="方正楷体_GBK" w:hAnsi="方正楷体_GBK" w:eastAsia="方正楷体_GBK" w:cs="方正楷体_GBK"/>
              <w:lang w:eastAsia="zh-CN"/>
            </w:rPr>
            <w:fldChar w:fldCharType="end"/>
          </w:r>
          <w:r>
            <w:rPr>
              <w:rFonts w:hint="eastAsia" w:ascii="方正楷体_GBK" w:hAnsi="方正楷体_GBK" w:eastAsia="方正楷体_GBK" w:cs="方正楷体_GBK"/>
              <w:lang w:eastAsia="zh-CN"/>
            </w:rPr>
            <w:fldChar w:fldCharType="end"/>
          </w:r>
        </w:p>
        <w:p w14:paraId="62D111D3">
          <w:pPr>
            <w:pStyle w:val="11"/>
            <w:keepNext w:val="0"/>
            <w:keepLines w:val="0"/>
            <w:pageBreakBefore w:val="0"/>
            <w:widowControl w:val="0"/>
            <w:tabs>
              <w:tab w:val="right" w:leader="dot" w:pos="8788"/>
            </w:tabs>
            <w:kinsoku/>
            <w:wordWrap/>
            <w:overflowPunct/>
            <w:topLinePunct w:val="0"/>
            <w:autoSpaceDE/>
            <w:autoSpaceDN/>
            <w:bidi w:val="0"/>
            <w:adjustRightInd/>
            <w:snapToGrid/>
            <w:spacing w:line="540" w:lineRule="exact"/>
            <w:textAlignment w:val="auto"/>
          </w:pPr>
          <w:r>
            <w:rPr>
              <w:rFonts w:hint="eastAsia"/>
              <w:lang w:eastAsia="zh-CN"/>
            </w:rPr>
            <w:fldChar w:fldCharType="begin"/>
          </w:r>
          <w:r>
            <w:rPr>
              <w:rFonts w:hint="eastAsia"/>
              <w:lang w:eastAsia="zh-CN"/>
            </w:rPr>
            <w:instrText xml:space="preserve"> HYPERLINK \l _Toc3342 </w:instrText>
          </w:r>
          <w:r>
            <w:rPr>
              <w:rFonts w:hint="eastAsia"/>
              <w:lang w:eastAsia="zh-CN"/>
            </w:rPr>
            <w:fldChar w:fldCharType="separate"/>
          </w:r>
          <w:r>
            <w:rPr>
              <w:rFonts w:hint="eastAsia"/>
            </w:rPr>
            <w:t>六、事故整改</w:t>
          </w:r>
          <w:r>
            <w:t>和</w:t>
          </w:r>
          <w:r>
            <w:rPr>
              <w:rFonts w:hint="eastAsia"/>
            </w:rPr>
            <w:t>防范措施</w:t>
          </w:r>
          <w:r>
            <w:t>建议</w:t>
          </w:r>
          <w:r>
            <w:rPr>
              <w:rFonts w:hint="eastAsia" w:ascii="方正楷体_GBK" w:hAnsi="方正楷体_GBK" w:eastAsia="方正楷体_GBK" w:cs="方正楷体_GBK"/>
              <w:kern w:val="2"/>
              <w:sz w:val="32"/>
              <w:lang w:val="en-US" w:eastAsia="zh-CN" w:bidi="ar-SA"/>
            </w:rPr>
            <w:tab/>
          </w:r>
          <w:r>
            <w:rPr>
              <w:rFonts w:hint="eastAsia" w:ascii="方正楷体_GBK" w:hAnsi="方正楷体_GBK" w:eastAsia="方正楷体_GBK" w:cs="方正楷体_GBK"/>
              <w:kern w:val="2"/>
              <w:sz w:val="32"/>
              <w:lang w:val="en-US" w:eastAsia="zh-CN" w:bidi="ar-SA"/>
            </w:rPr>
            <w:fldChar w:fldCharType="begin"/>
          </w:r>
          <w:r>
            <w:rPr>
              <w:rFonts w:hint="eastAsia" w:ascii="方正楷体_GBK" w:hAnsi="方正楷体_GBK" w:eastAsia="方正楷体_GBK" w:cs="方正楷体_GBK"/>
              <w:kern w:val="2"/>
              <w:sz w:val="32"/>
              <w:lang w:val="en-US" w:eastAsia="zh-CN" w:bidi="ar-SA"/>
            </w:rPr>
            <w:instrText xml:space="preserve"> PAGEREF _Toc3342 \h </w:instrText>
          </w:r>
          <w:r>
            <w:rPr>
              <w:rFonts w:hint="eastAsia" w:ascii="方正楷体_GBK" w:hAnsi="方正楷体_GBK" w:eastAsia="方正楷体_GBK" w:cs="方正楷体_GBK"/>
              <w:kern w:val="2"/>
              <w:sz w:val="32"/>
              <w:lang w:val="en-US" w:eastAsia="zh-CN" w:bidi="ar-SA"/>
            </w:rPr>
            <w:fldChar w:fldCharType="separate"/>
          </w:r>
          <w:r>
            <w:rPr>
              <w:rFonts w:hint="eastAsia" w:ascii="方正楷体_GBK" w:hAnsi="方正楷体_GBK" w:eastAsia="方正楷体_GBK" w:cs="方正楷体_GBK"/>
              <w:kern w:val="2"/>
              <w:sz w:val="32"/>
              <w:lang w:val="en-US" w:eastAsia="zh-CN" w:bidi="ar-SA"/>
            </w:rPr>
            <w:t>- 9 -</w:t>
          </w:r>
          <w:r>
            <w:rPr>
              <w:rFonts w:hint="eastAsia" w:ascii="方正楷体_GBK" w:hAnsi="方正楷体_GBK" w:eastAsia="方正楷体_GBK" w:cs="方正楷体_GBK"/>
              <w:kern w:val="2"/>
              <w:sz w:val="32"/>
              <w:lang w:val="en-US" w:eastAsia="zh-CN" w:bidi="ar-SA"/>
            </w:rPr>
            <w:fldChar w:fldCharType="end"/>
          </w:r>
          <w:r>
            <w:rPr>
              <w:rFonts w:hint="eastAsia"/>
              <w:lang w:eastAsia="zh-CN"/>
            </w:rPr>
            <w:fldChar w:fldCharType="end"/>
          </w:r>
        </w:p>
        <w:p w14:paraId="0FCF21DA">
          <w:pPr>
            <w:keepNext w:val="0"/>
            <w:keepLines w:val="0"/>
            <w:pageBreakBefore w:val="0"/>
            <w:widowControl w:val="0"/>
            <w:kinsoku/>
            <w:wordWrap/>
            <w:overflowPunct/>
            <w:topLinePunct w:val="0"/>
            <w:autoSpaceDE/>
            <w:autoSpaceDN/>
            <w:bidi w:val="0"/>
            <w:adjustRightInd/>
            <w:snapToGrid/>
            <w:spacing w:line="540" w:lineRule="exact"/>
            <w:ind w:left="0" w:leftChars="0" w:right="0" w:rightChars="0" w:firstLine="0" w:firstLineChars="0"/>
            <w:jc w:val="center"/>
            <w:textAlignment w:val="auto"/>
            <w:outlineLvl w:val="9"/>
            <w:rPr>
              <w:rFonts w:hint="default"/>
            </w:rPr>
          </w:pPr>
          <w:r>
            <w:rPr>
              <w:rFonts w:hint="eastAsia"/>
              <w:lang w:eastAsia="zh-CN"/>
            </w:rPr>
            <w:fldChar w:fldCharType="end"/>
          </w:r>
        </w:p>
      </w:sdtContent>
    </w:sdt>
    <w:p w14:paraId="574034F0">
      <w:pPr>
        <w:pStyle w:val="2"/>
        <w:keepNext w:val="0"/>
        <w:keepLines w:val="0"/>
        <w:pageBreakBefore w:val="0"/>
        <w:widowControl w:val="0"/>
        <w:kinsoku/>
        <w:wordWrap/>
        <w:overflowPunct/>
        <w:topLinePunct w:val="0"/>
        <w:autoSpaceDE/>
        <w:autoSpaceDN/>
        <w:bidi w:val="0"/>
        <w:adjustRightInd/>
        <w:snapToGrid/>
        <w:spacing w:line="540" w:lineRule="exact"/>
        <w:textAlignment w:val="auto"/>
        <w:rPr>
          <w:rFonts w:hint="default"/>
        </w:rPr>
        <w:sectPr>
          <w:footerReference r:id="rId7" w:type="default"/>
          <w:pgSz w:w="11906" w:h="16838"/>
          <w:pgMar w:top="2041" w:right="1559" w:bottom="1701" w:left="1559" w:header="851" w:footer="1701" w:gutter="0"/>
          <w:pgNumType w:fmt="numberInDash" w:start="1"/>
          <w:cols w:space="720" w:num="1"/>
          <w:docGrid w:type="lines" w:linePitch="312" w:charSpace="0"/>
        </w:sectPr>
      </w:pPr>
    </w:p>
    <w:p w14:paraId="5F35A3BA">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cs="Times New Roman"/>
        </w:rPr>
      </w:pPr>
      <w:r>
        <w:rPr>
          <w:rFonts w:hint="default" w:ascii="Times New Roman" w:hAnsi="Times New Roman" w:cs="Times New Roman"/>
        </w:rPr>
        <w:t>202</w:t>
      </w:r>
      <w:r>
        <w:rPr>
          <w:rFonts w:hint="eastAsia" w:ascii="Times New Roman" w:hAnsi="Times New Roman" w:cs="Times New Roman"/>
          <w:lang w:val="en-US" w:eastAsia="zh-CN"/>
        </w:rPr>
        <w:t>5</w:t>
      </w:r>
      <w:r>
        <w:rPr>
          <w:rFonts w:hint="default" w:ascii="Times New Roman" w:hAnsi="Times New Roman" w:cs="Times New Roman"/>
        </w:rPr>
        <w:t>年</w:t>
      </w:r>
      <w:r>
        <w:rPr>
          <w:rFonts w:hint="eastAsia" w:ascii="Times New Roman" w:hAnsi="Times New Roman" w:cs="Times New Roman"/>
          <w:lang w:val="en-US" w:eastAsia="zh-CN"/>
        </w:rPr>
        <w:t>3</w:t>
      </w:r>
      <w:r>
        <w:rPr>
          <w:rFonts w:hint="default" w:ascii="Times New Roman" w:hAnsi="Times New Roman" w:cs="Times New Roman"/>
        </w:rPr>
        <w:t>月</w:t>
      </w:r>
      <w:r>
        <w:rPr>
          <w:rFonts w:hint="default" w:ascii="Times New Roman" w:hAnsi="Times New Roman" w:cs="Times New Roman"/>
          <w:lang w:val="en-US" w:eastAsia="zh-CN"/>
        </w:rPr>
        <w:t>1</w:t>
      </w:r>
      <w:r>
        <w:rPr>
          <w:rFonts w:hint="eastAsia" w:ascii="Times New Roman" w:hAnsi="Times New Roman" w:cs="Times New Roman"/>
          <w:lang w:val="en-US" w:eastAsia="zh-CN"/>
        </w:rPr>
        <w:t>2</w:t>
      </w:r>
      <w:r>
        <w:rPr>
          <w:rFonts w:hint="default" w:ascii="Times New Roman" w:hAnsi="Times New Roman" w:cs="Times New Roman"/>
        </w:rPr>
        <w:t>日</w:t>
      </w:r>
      <w:r>
        <w:rPr>
          <w:rFonts w:hint="default" w:ascii="Times New Roman" w:hAnsi="Times New Roman" w:cs="Times New Roman"/>
          <w:lang w:val="en-US" w:eastAsia="zh-CN"/>
        </w:rPr>
        <w:t>8时</w:t>
      </w:r>
      <w:r>
        <w:rPr>
          <w:rFonts w:hint="eastAsia" w:ascii="Times New Roman" w:hAnsi="Times New Roman" w:cs="Times New Roman"/>
          <w:lang w:val="en-US" w:eastAsia="zh-CN"/>
        </w:rPr>
        <w:t>25</w:t>
      </w:r>
      <w:r>
        <w:rPr>
          <w:rFonts w:hint="default" w:ascii="Times New Roman" w:hAnsi="Times New Roman" w:cs="Times New Roman"/>
          <w:lang w:val="en-US" w:eastAsia="zh-CN"/>
        </w:rPr>
        <w:t>分左右</w:t>
      </w:r>
      <w:r>
        <w:rPr>
          <w:rFonts w:hint="default" w:ascii="Times New Roman" w:hAnsi="Times New Roman" w:cs="Times New Roman"/>
        </w:rPr>
        <w:t>，</w:t>
      </w:r>
      <w:r>
        <w:rPr>
          <w:rFonts w:hint="default" w:ascii="Times New Roman" w:hAnsi="Times New Roman" w:cs="Times New Roman"/>
          <w:lang w:eastAsia="zh-CN"/>
        </w:rPr>
        <w:t>位于</w:t>
      </w:r>
      <w:r>
        <w:rPr>
          <w:rFonts w:hint="eastAsia" w:ascii="仿宋_GB2312" w:hAnsi="仿宋_GB2312" w:eastAsia="仿宋_GB2312" w:cs="仿宋_GB2312"/>
          <w:sz w:val="32"/>
          <w:szCs w:val="32"/>
          <w:lang w:eastAsia="zh-CN"/>
        </w:rPr>
        <w:t>天津市静海区振兴镀锌管有限公司</w:t>
      </w:r>
      <w:r>
        <w:rPr>
          <w:rFonts w:hint="default" w:ascii="Times New Roman" w:hAnsi="Times New Roman" w:cs="Times New Roman"/>
        </w:rPr>
        <w:t>发生一起</w:t>
      </w:r>
      <w:r>
        <w:rPr>
          <w:rFonts w:hint="eastAsia" w:ascii="Times New Roman" w:hAnsi="Times New Roman" w:cs="Times New Roman"/>
          <w:lang w:eastAsia="zh-CN"/>
        </w:rPr>
        <w:t>爆炸</w:t>
      </w:r>
      <w:r>
        <w:rPr>
          <w:rFonts w:hint="default" w:ascii="Times New Roman" w:hAnsi="Times New Roman" w:cs="Times New Roman"/>
        </w:rPr>
        <w:t>事故，造成1人死亡，直接经济损失约</w:t>
      </w:r>
      <w:r>
        <w:rPr>
          <w:rFonts w:hint="eastAsia" w:ascii="Times New Roman" w:hAnsi="Times New Roman" w:cs="Times New Roman"/>
          <w:lang w:val="en-US" w:eastAsia="zh-CN"/>
        </w:rPr>
        <w:t>150</w:t>
      </w:r>
      <w:r>
        <w:rPr>
          <w:rFonts w:hint="default" w:ascii="Times New Roman" w:hAnsi="Times New Roman" w:cs="Times New Roman"/>
        </w:rPr>
        <w:t>万元。</w:t>
      </w:r>
    </w:p>
    <w:p w14:paraId="5574D8DB">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cs="Times New Roman"/>
        </w:rPr>
      </w:pPr>
      <w:r>
        <w:rPr>
          <w:rFonts w:hint="default" w:ascii="Times New Roman" w:hAnsi="Times New Roman" w:cs="Times New Roman"/>
        </w:rPr>
        <w:t>依据《中华人民共和国安全生产法》《生产安全事故报告和调查处理条例》等有关法律法规规定，我区成立了</w:t>
      </w:r>
      <w:r>
        <w:rPr>
          <w:rFonts w:hint="default" w:ascii="Times New Roman" w:hAnsi="Times New Roman" w:cs="Times New Roman"/>
          <w:lang w:eastAsia="zh-CN"/>
        </w:rPr>
        <w:t>静海大邱庄</w:t>
      </w:r>
      <w:r>
        <w:rPr>
          <w:rFonts w:hint="eastAsia" w:ascii="Times New Roman" w:hAnsi="Times New Roman" w:cs="Times New Roman"/>
          <w:lang w:eastAsia="zh-CN"/>
        </w:rPr>
        <w:t>振兴镀锌管有限公司“3·12”一般爆炸事故</w:t>
      </w:r>
      <w:r>
        <w:rPr>
          <w:rFonts w:hint="default" w:ascii="Times New Roman" w:hAnsi="Times New Roman" w:cs="Times New Roman"/>
        </w:rPr>
        <w:t>调查组（以下简称：事故调查组），事故调查组由区应急管理局、公安静海分局、</w:t>
      </w:r>
      <w:r>
        <w:rPr>
          <w:rFonts w:hint="eastAsia" w:ascii="Times New Roman" w:hAnsi="Times New Roman" w:cs="Times New Roman"/>
          <w:lang w:eastAsia="zh-CN"/>
        </w:rPr>
        <w:t>区生态环境局、</w:t>
      </w:r>
      <w:r>
        <w:rPr>
          <w:rFonts w:hint="default" w:ascii="Times New Roman" w:hAnsi="Times New Roman" w:cs="Times New Roman"/>
        </w:rPr>
        <w:t>区</w:t>
      </w:r>
      <w:r>
        <w:rPr>
          <w:rFonts w:hint="default" w:ascii="Times New Roman" w:hAnsi="Times New Roman" w:cs="Times New Roman"/>
          <w:lang w:eastAsia="zh-CN"/>
        </w:rPr>
        <w:t>工业和信息化局</w:t>
      </w:r>
      <w:r>
        <w:rPr>
          <w:rFonts w:hint="default" w:ascii="Times New Roman" w:hAnsi="Times New Roman" w:cs="Times New Roman"/>
        </w:rPr>
        <w:t>、区总工会、</w:t>
      </w:r>
      <w:r>
        <w:rPr>
          <w:rFonts w:hint="default" w:ascii="Times New Roman" w:hAnsi="Times New Roman" w:cs="Times New Roman"/>
          <w:lang w:eastAsia="zh-CN"/>
        </w:rPr>
        <w:t>大邱庄镇政府</w:t>
      </w:r>
      <w:r>
        <w:rPr>
          <w:rFonts w:hint="default" w:ascii="Times New Roman" w:hAnsi="Times New Roman" w:cs="Times New Roman"/>
        </w:rPr>
        <w:t>组成，邀请区纪委监委、区检察院参加，聘请有关专家参与调查。</w:t>
      </w:r>
    </w:p>
    <w:p w14:paraId="2EC02354">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pPr>
      <w:r>
        <w:rPr>
          <w:rFonts w:hint="default" w:ascii="Times New Roman" w:hAnsi="Times New Roman" w:cs="Times New Roman"/>
        </w:rPr>
        <w:t>调查组按照“四不放过”和“科学严谨、依法依规、实事求是、注重实效”的原则，通过现场勘查、调查取证、</w:t>
      </w:r>
      <w:r>
        <w:rPr>
          <w:rFonts w:hint="eastAsia" w:ascii="Times New Roman" w:hAnsi="Times New Roman" w:cs="Times New Roman"/>
          <w:lang w:eastAsia="zh-CN"/>
        </w:rPr>
        <w:t>综合分析</w:t>
      </w:r>
      <w:r>
        <w:rPr>
          <w:rFonts w:hint="default" w:ascii="Times New Roman" w:hAnsi="Times New Roman" w:cs="Times New Roman"/>
        </w:rPr>
        <w:t>，查明了事故发生的经过、原因和直接经济损失情</w:t>
      </w:r>
      <w:r>
        <w:t>况</w:t>
      </w:r>
      <w:r>
        <w:rPr>
          <w:rFonts w:hint="eastAsia"/>
        </w:rPr>
        <w:t>，认定了事故性质和责任，提出了对相关责任单位和相关责任人的处理建议和</w:t>
      </w:r>
      <w:r>
        <w:t>事故</w:t>
      </w:r>
      <w:r>
        <w:rPr>
          <w:rFonts w:hint="eastAsia"/>
          <w:lang w:eastAsia="zh-CN"/>
        </w:rPr>
        <w:t>整改</w:t>
      </w:r>
      <w:r>
        <w:t>防范措施建议</w:t>
      </w:r>
      <w:r>
        <w:rPr>
          <w:rFonts w:hint="eastAsia"/>
        </w:rPr>
        <w:t>。现将有关情况报告如下：</w:t>
      </w:r>
    </w:p>
    <w:p w14:paraId="1B5182D3">
      <w:pPr>
        <w:pStyle w:val="2"/>
        <w:pageBreakBefore w:val="0"/>
        <w:kinsoku/>
        <w:wordWrap/>
        <w:overflowPunct/>
        <w:topLinePunct w:val="0"/>
        <w:bidi w:val="0"/>
        <w:snapToGrid/>
        <w:spacing w:line="560" w:lineRule="exact"/>
        <w:textAlignment w:val="auto"/>
        <w:rPr>
          <w:rFonts w:hint="eastAsia"/>
        </w:rPr>
      </w:pPr>
      <w:bookmarkStart w:id="26" w:name="_Toc12608"/>
      <w:bookmarkStart w:id="27" w:name="_Toc7100"/>
      <w:r>
        <w:rPr>
          <w:rFonts w:hint="eastAsia"/>
        </w:rPr>
        <w:t>一、事故基本情况</w:t>
      </w:r>
      <w:bookmarkEnd w:id="26"/>
      <w:bookmarkEnd w:id="27"/>
      <w:bookmarkStart w:id="28" w:name="_Toc23551"/>
    </w:p>
    <w:p w14:paraId="74C3005D">
      <w:pPr>
        <w:pStyle w:val="3"/>
        <w:pageBreakBefore w:val="0"/>
        <w:kinsoku/>
        <w:wordWrap/>
        <w:overflowPunct/>
        <w:topLinePunct w:val="0"/>
        <w:bidi w:val="0"/>
        <w:snapToGrid/>
        <w:spacing w:line="560" w:lineRule="exact"/>
        <w:textAlignment w:val="auto"/>
      </w:pPr>
      <w:bookmarkStart w:id="29" w:name="_Toc4036"/>
      <w:r>
        <w:rPr>
          <w:rFonts w:hint="eastAsia"/>
          <w:lang w:eastAsia="zh-CN"/>
        </w:rPr>
        <w:t>（一）</w:t>
      </w:r>
      <w:r>
        <w:rPr>
          <w:rFonts w:hint="eastAsia"/>
        </w:rPr>
        <w:t>事故单位情况</w:t>
      </w:r>
      <w:bookmarkEnd w:id="28"/>
      <w:bookmarkEnd w:id="29"/>
    </w:p>
    <w:p w14:paraId="15BC4D90">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lang w:val="en-US" w:eastAsia="zh-CN"/>
        </w:rPr>
      </w:pPr>
      <w:r>
        <w:rPr>
          <w:rFonts w:hint="eastAsia" w:ascii="Times New Roman" w:hAnsi="Times New Roman" w:cs="Times New Roman"/>
          <w:lang w:val="en-US" w:eastAsia="zh-CN"/>
        </w:rPr>
        <w:t>天津市静海区振兴镀锌管有限公司（以下简称：振兴公司），成立于1999年12月24日，</w:t>
      </w:r>
      <w:bookmarkStart w:id="66" w:name="_GoBack"/>
      <w:bookmarkEnd w:id="66"/>
      <w:r>
        <w:rPr>
          <w:rFonts w:hint="eastAsia" w:ascii="Times New Roman" w:hAnsi="Times New Roman" w:cs="Times New Roman"/>
          <w:lang w:val="en-US" w:eastAsia="zh-CN"/>
        </w:rPr>
        <w:t>注册地址：天津市静海区大邱庄镇满井子村轧三厂南侧，企业类型：有限责任公司，统一社会信用代码：91120223718254501J，法定代表人：毛顺明，注册资本：5800万元人民币，经营</w:t>
      </w:r>
      <w:r>
        <w:rPr>
          <w:rFonts w:hint="eastAsia" w:ascii="Times New Roman" w:hAnsi="Times New Roman" w:cs="Times New Roman"/>
        </w:rPr>
        <w:t>范围：</w:t>
      </w:r>
      <w:r>
        <w:rPr>
          <w:rFonts w:hint="eastAsia" w:ascii="Times New Roman" w:hAnsi="Times New Roman" w:cs="Times New Roman"/>
          <w:lang w:eastAsia="zh-CN"/>
        </w:rPr>
        <w:t>镀锌管制造、加工</w:t>
      </w:r>
      <w:r>
        <w:rPr>
          <w:rFonts w:hint="eastAsia" w:ascii="Times New Roman" w:hAnsi="Times New Roman" w:cs="Times New Roman"/>
        </w:rPr>
        <w:t>等。</w:t>
      </w:r>
    </w:p>
    <w:p w14:paraId="4C5C8B50">
      <w:pPr>
        <w:pStyle w:val="3"/>
        <w:pageBreakBefore w:val="0"/>
        <w:kinsoku/>
        <w:wordWrap/>
        <w:overflowPunct/>
        <w:topLinePunct w:val="0"/>
        <w:bidi w:val="0"/>
        <w:snapToGrid/>
        <w:spacing w:line="560" w:lineRule="exact"/>
        <w:textAlignment w:val="auto"/>
        <w:rPr>
          <w:rFonts w:hint="eastAsia"/>
        </w:rPr>
      </w:pPr>
      <w:bookmarkStart w:id="30" w:name="_Toc19230"/>
      <w:bookmarkStart w:id="31" w:name="_Toc26556"/>
      <w:r>
        <w:rPr>
          <w:rFonts w:hint="eastAsia"/>
          <w:lang w:eastAsia="zh-CN"/>
        </w:rPr>
        <w:t>（</w:t>
      </w:r>
      <w:r>
        <w:rPr>
          <w:rFonts w:hint="eastAsia"/>
        </w:rPr>
        <w:t>二）</w:t>
      </w:r>
      <w:r>
        <w:rPr>
          <w:rFonts w:hint="eastAsia"/>
          <w:lang w:eastAsia="zh-CN"/>
        </w:rPr>
        <w:t>事故单位安全管理</w:t>
      </w:r>
      <w:r>
        <w:rPr>
          <w:rFonts w:hint="eastAsia"/>
        </w:rPr>
        <w:t>情况</w:t>
      </w:r>
      <w:bookmarkEnd w:id="30"/>
    </w:p>
    <w:p w14:paraId="6711025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kern w:val="2"/>
          <w:lang w:val="en-US" w:eastAsia="zh-CN" w:bidi="ar-SA"/>
        </w:rPr>
      </w:pPr>
      <w:r>
        <w:rPr>
          <w:rFonts w:hint="eastAsia"/>
          <w:lang w:val="en-US" w:eastAsia="zh-CN"/>
        </w:rPr>
        <w:t>振兴公司</w:t>
      </w:r>
      <w:r>
        <w:rPr>
          <w:rFonts w:hint="eastAsia" w:ascii="Times New Roman" w:hAnsi="Times New Roman" w:cs="Times New Roman"/>
          <w:lang w:val="en-US" w:eastAsia="zh-CN"/>
        </w:rPr>
        <w:t>现有从业人员180余人，设置了安环部，下设有安全办从事安全生产管理工作。该公司编制了安全风险分级管控和隐患排查治理双重预防机制管理手册、生产安全事故应急预案、安全生产投入制度等安全管理制度</w:t>
      </w:r>
      <w:r>
        <w:rPr>
          <w:rFonts w:hint="eastAsia"/>
          <w:lang w:val="en-US" w:eastAsia="zh-CN"/>
        </w:rPr>
        <w:t>。该公司主要负责人为董某良，主持公司全面工作。</w:t>
      </w:r>
    </w:p>
    <w:p w14:paraId="559CEC31">
      <w:pPr>
        <w:pStyle w:val="3"/>
        <w:pageBreakBefore w:val="0"/>
        <w:widowControl w:val="0"/>
        <w:kinsoku/>
        <w:wordWrap/>
        <w:overflowPunct/>
        <w:topLinePunct w:val="0"/>
        <w:autoSpaceDE/>
        <w:autoSpaceDN/>
        <w:bidi w:val="0"/>
        <w:adjustRightInd/>
        <w:snapToGrid/>
        <w:spacing w:line="560" w:lineRule="exact"/>
        <w:textAlignment w:val="auto"/>
      </w:pPr>
      <w:bookmarkStart w:id="32" w:name="_Toc27564"/>
      <w:r>
        <w:rPr>
          <w:rFonts w:hint="eastAsia"/>
        </w:rPr>
        <w:t>（</w:t>
      </w:r>
      <w:r>
        <w:rPr>
          <w:rFonts w:hint="eastAsia"/>
          <w:lang w:eastAsia="zh-CN"/>
        </w:rPr>
        <w:t>三</w:t>
      </w:r>
      <w:r>
        <w:rPr>
          <w:rFonts w:hint="eastAsia"/>
        </w:rPr>
        <w:t>）</w:t>
      </w:r>
      <w:r>
        <w:rPr>
          <w:rFonts w:hint="eastAsia"/>
          <w:lang w:eastAsia="zh-CN"/>
        </w:rPr>
        <w:t>除尘室布局</w:t>
      </w:r>
      <w:r>
        <w:rPr>
          <w:rFonts w:hint="eastAsia"/>
        </w:rPr>
        <w:t>情况</w:t>
      </w:r>
      <w:bookmarkEnd w:id="31"/>
      <w:bookmarkEnd w:id="32"/>
    </w:p>
    <w:p w14:paraId="15B7335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cs="Times New Roman"/>
          <w:lang w:val="en-US" w:eastAsia="zh-CN"/>
        </w:rPr>
      </w:pPr>
      <w:r>
        <w:rPr>
          <w:rFonts w:hint="eastAsia"/>
          <w:lang w:val="en-US" w:eastAsia="zh-CN"/>
        </w:rPr>
        <w:t>事故地点位于振兴公</w:t>
      </w:r>
      <w:r>
        <w:rPr>
          <w:rFonts w:hint="eastAsia" w:ascii="Times New Roman" w:hAnsi="Times New Roman" w:cs="Times New Roman"/>
          <w:lang w:val="en-US" w:eastAsia="zh-CN"/>
        </w:rPr>
        <w:t>司</w:t>
      </w:r>
      <w:r>
        <w:rPr>
          <w:rFonts w:hint="default" w:ascii="Times New Roman" w:hAnsi="Times New Roman" w:cs="Times New Roman"/>
          <w:lang w:val="en-US" w:eastAsia="zh-CN"/>
        </w:rPr>
        <w:t>4</w:t>
      </w:r>
      <w:r>
        <w:rPr>
          <w:rFonts w:hint="eastAsia" w:ascii="Times New Roman" w:hAnsi="Times New Roman" w:cs="Times New Roman"/>
          <w:lang w:val="en-US" w:eastAsia="zh-CN"/>
        </w:rPr>
        <w:t>#镀锌车间的配套除尘室内。除尘室</w:t>
      </w:r>
      <w:r>
        <w:rPr>
          <w:rFonts w:hint="eastAsia" w:ascii="Times New Roman" w:hAnsi="Times New Roman" w:cs="Times New Roman"/>
          <w:lang w:val="zh-TW" w:eastAsia="zh-CN"/>
        </w:rPr>
        <w:t>共</w:t>
      </w:r>
      <w:r>
        <w:rPr>
          <w:rFonts w:hint="eastAsia" w:ascii="Times New Roman" w:hAnsi="Times New Roman" w:cs="Times New Roman"/>
          <w:lang w:val="en-US" w:eastAsia="zh-CN"/>
        </w:rPr>
        <w:t>一</w:t>
      </w:r>
      <w:r>
        <w:rPr>
          <w:rFonts w:hint="eastAsia" w:ascii="Times New Roman" w:hAnsi="Times New Roman" w:cs="Times New Roman"/>
          <w:lang w:val="zh-TW" w:eastAsia="zh-CN"/>
        </w:rPr>
        <w:t>层，为</w:t>
      </w:r>
      <w:r>
        <w:rPr>
          <w:rFonts w:hint="eastAsia" w:ascii="Times New Roman" w:hAnsi="Times New Roman" w:cs="Times New Roman"/>
          <w:lang w:val="en-US" w:eastAsia="zh-CN"/>
        </w:rPr>
        <w:t>砖混</w:t>
      </w:r>
      <w:r>
        <w:rPr>
          <w:rFonts w:hint="eastAsia" w:ascii="Times New Roman" w:hAnsi="Times New Roman" w:cs="Times New Roman"/>
          <w:lang w:val="zh-TW" w:eastAsia="zh-CN"/>
        </w:rPr>
        <w:t>结构，</w:t>
      </w:r>
      <w:r>
        <w:rPr>
          <w:rFonts w:hint="eastAsia" w:ascii="Times New Roman" w:hAnsi="Times New Roman" w:cs="Times New Roman"/>
          <w:lang w:val="en-US" w:eastAsia="zh-CN"/>
        </w:rPr>
        <w:t>东西长约6m，南北长约12m，高约6.2m，</w:t>
      </w:r>
      <w:r>
        <w:rPr>
          <w:rFonts w:hint="eastAsia" w:ascii="Times New Roman" w:hAnsi="Times New Roman" w:cs="Times New Roman"/>
          <w:lang w:val="zh-TW" w:eastAsia="zh-CN"/>
        </w:rPr>
        <w:t>建筑面积</w:t>
      </w:r>
      <w:r>
        <w:rPr>
          <w:rFonts w:hint="eastAsia" w:ascii="Times New Roman" w:hAnsi="Times New Roman" w:cs="Times New Roman"/>
          <w:lang w:val="en-US" w:eastAsia="zh-CN"/>
        </w:rPr>
        <w:t>约74</w:t>
      </w:r>
      <w:r>
        <w:rPr>
          <w:rFonts w:hint="eastAsia" w:ascii="Times New Roman" w:hAnsi="Times New Roman" w:cs="Times New Roman"/>
          <w:lang w:val="zh-TW" w:eastAsia="zh-CN"/>
        </w:rPr>
        <w:t>㎡。建筑耐火等级为二级，设有</w:t>
      </w:r>
      <w:r>
        <w:rPr>
          <w:rFonts w:hint="eastAsia" w:ascii="Times New Roman" w:hAnsi="Times New Roman" w:cs="Times New Roman"/>
          <w:lang w:val="en-US" w:eastAsia="zh-CN"/>
        </w:rPr>
        <w:t>1</w:t>
      </w:r>
      <w:r>
        <w:rPr>
          <w:rFonts w:hint="eastAsia" w:ascii="Times New Roman" w:hAnsi="Times New Roman" w:cs="Times New Roman"/>
          <w:lang w:val="zh-TW" w:eastAsia="zh-CN"/>
        </w:rPr>
        <w:t>个安全出口，内置</w:t>
      </w:r>
      <w:r>
        <w:rPr>
          <w:rFonts w:hint="eastAsia" w:ascii="Times New Roman" w:hAnsi="Times New Roman" w:cs="Times New Roman"/>
          <w:lang w:val="en-US" w:eastAsia="zh-CN"/>
        </w:rPr>
        <w:t>1套环保治理设施。</w:t>
      </w:r>
    </w:p>
    <w:p w14:paraId="3E25B349">
      <w:pPr>
        <w:pStyle w:val="3"/>
        <w:pageBreakBefore w:val="0"/>
        <w:kinsoku/>
        <w:wordWrap/>
        <w:overflowPunct/>
        <w:topLinePunct w:val="0"/>
        <w:bidi w:val="0"/>
        <w:snapToGrid/>
        <w:spacing w:line="560" w:lineRule="exact"/>
        <w:textAlignment w:val="auto"/>
      </w:pPr>
      <w:bookmarkStart w:id="33" w:name="_Toc1888"/>
      <w:r>
        <w:rPr>
          <w:rFonts w:hint="eastAsia"/>
        </w:rPr>
        <w:t>（</w:t>
      </w:r>
      <w:r>
        <w:rPr>
          <w:rFonts w:hint="eastAsia"/>
          <w:lang w:eastAsia="zh-CN"/>
        </w:rPr>
        <w:t>四</w:t>
      </w:r>
      <w:r>
        <w:rPr>
          <w:rFonts w:hint="eastAsia"/>
        </w:rPr>
        <w:t>）</w:t>
      </w:r>
      <w:r>
        <w:rPr>
          <w:rFonts w:hint="eastAsia" w:ascii="Times New Roman" w:hAnsi="Times New Roman"/>
          <w:sz w:val="32"/>
          <w:szCs w:val="32"/>
          <w:lang w:val="en-US" w:eastAsia="zh-CN"/>
        </w:rPr>
        <w:t>环保治理设施</w:t>
      </w:r>
      <w:r>
        <w:rPr>
          <w:rFonts w:hint="eastAsia"/>
        </w:rPr>
        <w:t>情况</w:t>
      </w:r>
      <w:bookmarkEnd w:id="33"/>
    </w:p>
    <w:p w14:paraId="0FDAF6F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cs="Times New Roman"/>
          <w:lang w:val="en-US" w:eastAsia="zh-CN"/>
        </w:rPr>
      </w:pPr>
      <w:r>
        <w:rPr>
          <w:rFonts w:hint="eastAsia" w:ascii="Times New Roman" w:hAnsi="Times New Roman" w:cs="Times New Roman"/>
          <w:lang w:val="en-US" w:eastAsia="zh-CN"/>
        </w:rPr>
        <w:t>2007年，振兴公司向泊头市保洁除尘配件有限公司采购安装环保处理设施（型号为MC-120），用于处理热镀锌内吹工序中产生的锌尘，于当年投入使用。工作流程为：在4#镀锌车间内吹工序上方设置一排集气罩，将废气沿钢质管道送至布袋除尘器进行净化处理后，通过排气管进行排放。</w:t>
      </w:r>
    </w:p>
    <w:p w14:paraId="5B11821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lang w:val="en-US" w:eastAsia="zh-CN"/>
        </w:rPr>
      </w:pPr>
      <w:r>
        <w:rPr>
          <w:rFonts w:hint="eastAsia" w:ascii="Times New Roman" w:hAnsi="Times New Roman" w:cs="Times New Roman"/>
          <w:lang w:val="en-US" w:eastAsia="zh-CN"/>
        </w:rPr>
        <w:t>2010年，振兴公司为了提升环保处理设施处理效果，在环保处理设施的引流风机和</w:t>
      </w:r>
      <w:r>
        <w:rPr>
          <w:rFonts w:hint="eastAsia"/>
          <w:lang w:val="en-US" w:eastAsia="zh-CN"/>
        </w:rPr>
        <w:t>排气管之间自行安装了除尘水箱（以下简称：水箱）。</w:t>
      </w:r>
    </w:p>
    <w:p w14:paraId="43B5A6DE">
      <w:pPr>
        <w:pStyle w:val="5"/>
        <w:rPr>
          <w:rFonts w:hint="eastAsia"/>
          <w:lang w:val="en-US" w:eastAsia="zh-CN"/>
        </w:rPr>
      </w:pPr>
    </w:p>
    <w:p w14:paraId="0E395341">
      <w:pPr>
        <w:pStyle w:val="5"/>
        <w:rPr>
          <w:rFonts w:hint="eastAsia"/>
          <w:lang w:val="en-US" w:eastAsia="zh-CN"/>
        </w:rPr>
      </w:pPr>
    </w:p>
    <w:p w14:paraId="72A20379">
      <w:pPr>
        <w:pStyle w:val="5"/>
        <w:jc w:val="center"/>
        <w:rPr>
          <w:rFonts w:hint="eastAsia" w:ascii="仿宋_GB2312" w:hAnsi="仿宋_GB2312" w:eastAsia="仿宋_GB2312" w:cs="仿宋_GB2312"/>
          <w:sz w:val="28"/>
          <w:szCs w:val="28"/>
          <w:lang w:val="en-US" w:eastAsia="zh-CN"/>
        </w:rPr>
      </w:pPr>
      <w:r>
        <w:rPr>
          <w:rFonts w:hint="eastAsia" w:ascii="Times New Roman" w:hAnsi="Times New Roman" w:eastAsia="仿宋_GB2312" w:cs="Times New Roman"/>
          <w:kern w:val="2"/>
          <w:sz w:val="28"/>
          <w:szCs w:val="28"/>
          <w:lang w:val="en-GB" w:eastAsia="zh-CN" w:bidi="ar-SA"/>
        </w:rPr>
        <w:drawing>
          <wp:anchor distT="0" distB="0" distL="114300" distR="114300" simplePos="0" relativeHeight="251659264" behindDoc="1" locked="0" layoutInCell="1" allowOverlap="1">
            <wp:simplePos x="0" y="0"/>
            <wp:positionH relativeFrom="column">
              <wp:posOffset>235585</wp:posOffset>
            </wp:positionH>
            <wp:positionV relativeFrom="paragraph">
              <wp:posOffset>93345</wp:posOffset>
            </wp:positionV>
            <wp:extent cx="5269230" cy="3338830"/>
            <wp:effectExtent l="0" t="0" r="7620" b="52070"/>
            <wp:wrapTight wrapText="bothSides">
              <wp:wrapPolygon>
                <wp:start x="0" y="0"/>
                <wp:lineTo x="0" y="21444"/>
                <wp:lineTo x="21553" y="21444"/>
                <wp:lineTo x="21553" y="0"/>
                <wp:lineTo x="0" y="0"/>
              </wp:wrapPolygon>
            </wp:wrapTight>
            <wp:docPr id="4" name="图片 4" descr="a0e9004be86cb27f3111d6e9aaa8ec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a0e9004be86cb27f3111d6e9aaa8ecf"/>
                    <pic:cNvPicPr>
                      <a:picLocks noChangeAspect="1"/>
                    </pic:cNvPicPr>
                  </pic:nvPicPr>
                  <pic:blipFill>
                    <a:blip r:embed="rId10"/>
                    <a:srcRect r="-655" b="7351"/>
                    <a:stretch>
                      <a:fillRect/>
                    </a:stretch>
                  </pic:blipFill>
                  <pic:spPr>
                    <a:xfrm>
                      <a:off x="0" y="0"/>
                      <a:ext cx="5269230" cy="3338830"/>
                    </a:xfrm>
                    <a:prstGeom prst="rect">
                      <a:avLst/>
                    </a:prstGeom>
                  </pic:spPr>
                </pic:pic>
              </a:graphicData>
            </a:graphic>
          </wp:anchor>
        </w:drawing>
      </w:r>
      <w:r>
        <w:rPr>
          <w:rFonts w:hint="eastAsia" w:ascii="Times New Roman" w:hAnsi="Times New Roman" w:eastAsia="仿宋_GB2312" w:cs="Times New Roman"/>
          <w:kern w:val="2"/>
          <w:sz w:val="28"/>
          <w:szCs w:val="28"/>
          <w:lang w:val="en-US" w:eastAsia="zh-CN" w:bidi="ar-SA"/>
        </w:rPr>
        <w:t>图1 事故点位示意图</w:t>
      </w:r>
    </w:p>
    <w:p w14:paraId="513C2BA2">
      <w:pPr>
        <w:pStyle w:val="3"/>
        <w:bidi w:val="0"/>
        <w:rPr>
          <w:rFonts w:hint="eastAsia" w:ascii="Arial" w:hAnsi="Arial" w:eastAsia="楷体" w:cs="Times New Roman"/>
          <w:kern w:val="2"/>
          <w:lang w:val="en-US" w:eastAsia="zh-CN" w:bidi="ar-SA"/>
        </w:rPr>
      </w:pPr>
      <w:bookmarkStart w:id="34" w:name="_Toc7323"/>
      <w:r>
        <w:rPr>
          <w:rFonts w:hint="eastAsia"/>
          <w:lang w:val="en-US" w:eastAsia="zh-CN"/>
        </w:rPr>
        <w:t>（五）水箱情况</w:t>
      </w:r>
      <w:bookmarkEnd w:id="34"/>
    </w:p>
    <w:p w14:paraId="43508A1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lang w:val="en-US" w:eastAsia="zh-CN"/>
        </w:rPr>
      </w:pPr>
      <w:r>
        <w:rPr>
          <w:rFonts w:hint="eastAsia" w:ascii="Times New Roman" w:hAnsi="Times New Roman" w:eastAsia="仿宋_GB2312" w:cs="Times New Roman"/>
          <w:kern w:val="2"/>
          <w:sz w:val="32"/>
          <w:lang w:val="en-US" w:eastAsia="zh-CN" w:bidi="ar-SA"/>
        </w:rPr>
        <w:t>1.</w:t>
      </w:r>
      <w:r>
        <w:rPr>
          <w:rFonts w:hint="eastAsia"/>
          <w:lang w:val="en-US" w:eastAsia="zh-CN"/>
        </w:rPr>
        <w:t>外形结构</w:t>
      </w:r>
    </w:p>
    <w:p w14:paraId="5EB5ECD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kern w:val="2"/>
          <w:sz w:val="32"/>
          <w:lang w:val="en-US" w:eastAsia="zh-CN" w:bidi="ar-SA"/>
        </w:rPr>
      </w:pPr>
      <w:r>
        <w:rPr>
          <w:rFonts w:hint="eastAsia" w:ascii="Times New Roman" w:hAnsi="Times New Roman" w:eastAsia="仿宋_GB2312" w:cs="Times New Roman"/>
          <w:kern w:val="2"/>
          <w:sz w:val="32"/>
          <w:lang w:val="en-US" w:eastAsia="zh-CN" w:bidi="ar-SA"/>
        </w:rPr>
        <w:t>水箱呈长方体，整体由钢板焊接，长196cm，宽196cm，高181cm，事发时内部水深约9</w:t>
      </w:r>
      <w:r>
        <w:rPr>
          <w:rFonts w:hint="eastAsia" w:ascii="Times New Roman" w:hAnsi="Times New Roman" w:cs="Times New Roman"/>
          <w:kern w:val="2"/>
          <w:sz w:val="32"/>
          <w:lang w:val="en-US" w:eastAsia="zh-CN" w:bidi="ar-SA"/>
        </w:rPr>
        <w:t>3</w:t>
      </w:r>
      <w:r>
        <w:rPr>
          <w:rFonts w:hint="eastAsia" w:ascii="Times New Roman" w:hAnsi="Times New Roman" w:eastAsia="仿宋_GB2312" w:cs="Times New Roman"/>
          <w:kern w:val="2"/>
          <w:sz w:val="32"/>
          <w:lang w:val="en-US" w:eastAsia="zh-CN" w:bidi="ar-SA"/>
        </w:rPr>
        <w:t>cm（水线高度），其中沉淀物（锌渣）厚约25cm。</w:t>
      </w:r>
      <w:r>
        <w:rPr>
          <w:rFonts w:hint="eastAsia" w:ascii="Times New Roman" w:hAnsi="Times New Roman" w:cs="Times New Roman"/>
          <w:kern w:val="2"/>
          <w:sz w:val="32"/>
          <w:lang w:val="en-US" w:eastAsia="zh-CN" w:bidi="ar-SA"/>
        </w:rPr>
        <w:t>水箱</w:t>
      </w:r>
      <w:r>
        <w:rPr>
          <w:rFonts w:hint="eastAsia" w:ascii="Times New Roman" w:hAnsi="Times New Roman" w:eastAsia="仿宋_GB2312" w:cs="Times New Roman"/>
          <w:kern w:val="2"/>
          <w:sz w:val="32"/>
          <w:lang w:val="en-US" w:eastAsia="zh-CN" w:bidi="ar-SA"/>
        </w:rPr>
        <w:t>顶部钢板厚度0.2cm，侧面四块钢板厚度0.5cm。水箱东侧钢板设置进风口，进风口呈矩形，长40cm，宽37cm。水箱顶部钢板设置出风口，出风口呈矩形，长39.5cm，宽35cm。南侧钢板右下方设有人孔。</w:t>
      </w:r>
    </w:p>
    <w:p w14:paraId="3B964B1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kern w:val="2"/>
          <w:sz w:val="32"/>
          <w:lang w:val="en-US" w:eastAsia="zh-CN" w:bidi="ar-SA"/>
        </w:rPr>
      </w:pPr>
      <w:r>
        <w:rPr>
          <w:rFonts w:hint="eastAsia" w:ascii="Times New Roman" w:hAnsi="Times New Roman" w:eastAsia="仿宋_GB2312" w:cs="Times New Roman"/>
          <w:kern w:val="2"/>
          <w:sz w:val="32"/>
          <w:lang w:val="en-US" w:eastAsia="zh-CN" w:bidi="ar-SA"/>
        </w:rPr>
        <w:t>2.内部结构</w:t>
      </w:r>
    </w:p>
    <w:p w14:paraId="76C76F1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kern w:val="2"/>
          <w:sz w:val="32"/>
          <w:lang w:val="en-US" w:eastAsia="zh-CN" w:bidi="ar-SA"/>
        </w:rPr>
      </w:pPr>
      <w:r>
        <w:rPr>
          <w:rFonts w:hint="eastAsia" w:ascii="Times New Roman" w:hAnsi="Times New Roman" w:eastAsia="仿宋_GB2312" w:cs="Times New Roman"/>
          <w:kern w:val="2"/>
          <w:sz w:val="32"/>
          <w:lang w:val="en-US" w:eastAsia="zh-CN" w:bidi="ar-SA"/>
        </w:rPr>
        <w:t>水箱内部设置2块钢质隔板，其中大隔板</w:t>
      </w:r>
      <w:r>
        <w:rPr>
          <w:rFonts w:hint="eastAsia" w:ascii="Times New Roman" w:hAnsi="Times New Roman" w:cs="Times New Roman"/>
          <w:kern w:val="2"/>
          <w:sz w:val="32"/>
          <w:lang w:val="en-US" w:eastAsia="zh-CN" w:bidi="ar-SA"/>
        </w:rPr>
        <w:t>长</w:t>
      </w:r>
      <w:r>
        <w:rPr>
          <w:rFonts w:hint="eastAsia" w:ascii="Times New Roman" w:hAnsi="Times New Roman" w:eastAsia="仿宋_GB2312" w:cs="Times New Roman"/>
          <w:kern w:val="2"/>
          <w:sz w:val="32"/>
          <w:lang w:val="en-US" w:eastAsia="zh-CN" w:bidi="ar-SA"/>
        </w:rPr>
        <w:t>196cm</w:t>
      </w:r>
      <w:r>
        <w:rPr>
          <w:rFonts w:hint="eastAsia" w:ascii="Times New Roman" w:hAnsi="Times New Roman" w:cs="Times New Roman"/>
          <w:kern w:val="2"/>
          <w:sz w:val="32"/>
          <w:lang w:val="en-US" w:eastAsia="zh-CN" w:bidi="ar-SA"/>
        </w:rPr>
        <w:t>，</w:t>
      </w:r>
      <w:r>
        <w:rPr>
          <w:rFonts w:hint="eastAsia" w:ascii="Times New Roman" w:hAnsi="Times New Roman" w:eastAsia="仿宋_GB2312" w:cs="Times New Roman"/>
          <w:kern w:val="2"/>
          <w:sz w:val="32"/>
          <w:lang w:val="en-US" w:eastAsia="zh-CN" w:bidi="ar-SA"/>
        </w:rPr>
        <w:t>高120cm，与上层钢板、东侧钢板、西侧钢板通过焊接固定；小隔板</w:t>
      </w:r>
      <w:r>
        <w:rPr>
          <w:rFonts w:hint="eastAsia" w:ascii="Times New Roman" w:hAnsi="Times New Roman" w:cs="Times New Roman"/>
          <w:kern w:val="2"/>
          <w:sz w:val="32"/>
          <w:lang w:val="en-US" w:eastAsia="zh-CN" w:bidi="ar-SA"/>
        </w:rPr>
        <w:t>长</w:t>
      </w:r>
      <w:r>
        <w:rPr>
          <w:rFonts w:hint="eastAsia" w:ascii="Times New Roman" w:hAnsi="Times New Roman" w:eastAsia="仿宋_GB2312" w:cs="Times New Roman"/>
          <w:kern w:val="2"/>
          <w:sz w:val="32"/>
          <w:lang w:val="en-US" w:eastAsia="zh-CN" w:bidi="ar-SA"/>
        </w:rPr>
        <w:t>91cm，高72cm，与上层钢板、北侧钢板、大隔板通过焊接固定。</w:t>
      </w:r>
    </w:p>
    <w:p w14:paraId="4256AB03">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宋体" w:hAnsi="宋体" w:eastAsia="宋体" w:cs="宋体"/>
          <w:kern w:val="2"/>
          <w:sz w:val="28"/>
          <w:szCs w:val="28"/>
          <w:lang w:val="en-US" w:eastAsia="zh-CN" w:bidi="ar-SA"/>
        </w:rPr>
      </w:pPr>
      <w:r>
        <w:rPr>
          <w:rFonts w:hint="eastAsia" w:ascii="仿宋_GB2312" w:hAnsi="仿宋_GB2312" w:eastAsia="仿宋_GB2312" w:cs="仿宋_GB2312"/>
          <w:kern w:val="2"/>
          <w:sz w:val="28"/>
          <w:szCs w:val="28"/>
          <w:lang w:val="en-US" w:eastAsia="zh-CN" w:bidi="ar-SA"/>
        </w:rPr>
        <w:drawing>
          <wp:anchor distT="0" distB="0" distL="114300" distR="114300" simplePos="0" relativeHeight="251662336" behindDoc="1" locked="0" layoutInCell="1" allowOverlap="1">
            <wp:simplePos x="0" y="0"/>
            <wp:positionH relativeFrom="column">
              <wp:posOffset>2913380</wp:posOffset>
            </wp:positionH>
            <wp:positionV relativeFrom="paragraph">
              <wp:posOffset>38735</wp:posOffset>
            </wp:positionV>
            <wp:extent cx="3315335" cy="3039745"/>
            <wp:effectExtent l="0" t="0" r="18415" b="27305"/>
            <wp:wrapTight wrapText="bothSides">
              <wp:wrapPolygon>
                <wp:start x="0" y="0"/>
                <wp:lineTo x="0" y="21523"/>
                <wp:lineTo x="21472" y="21523"/>
                <wp:lineTo x="21472" y="0"/>
                <wp:lineTo x="0" y="0"/>
              </wp:wrapPolygon>
            </wp:wrapTight>
            <wp:docPr id="7" name="图片 7" descr="ff68f020efc9cf4c342208d119674a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ff68f020efc9cf4c342208d119674a4"/>
                    <pic:cNvPicPr>
                      <a:picLocks noChangeAspect="1"/>
                    </pic:cNvPicPr>
                  </pic:nvPicPr>
                  <pic:blipFill>
                    <a:blip r:embed="rId11"/>
                    <a:srcRect l="22553" t="22146" r="27424" b="5684"/>
                    <a:stretch>
                      <a:fillRect/>
                    </a:stretch>
                  </pic:blipFill>
                  <pic:spPr>
                    <a:xfrm>
                      <a:off x="0" y="0"/>
                      <a:ext cx="3315335" cy="3039745"/>
                    </a:xfrm>
                    <a:prstGeom prst="rect">
                      <a:avLst/>
                    </a:prstGeom>
                  </pic:spPr>
                </pic:pic>
              </a:graphicData>
            </a:graphic>
          </wp:anchor>
        </w:drawing>
      </w:r>
      <w:r>
        <w:rPr>
          <w:rFonts w:hint="eastAsia" w:ascii="仿宋_GB2312" w:hAnsi="仿宋_GB2312" w:eastAsia="仿宋_GB2312" w:cs="仿宋_GB2312"/>
          <w:kern w:val="2"/>
          <w:sz w:val="28"/>
          <w:szCs w:val="28"/>
          <w:lang w:val="en-US" w:eastAsia="zh-CN" w:bidi="ar-SA"/>
        </w:rPr>
        <w:t>图2 水箱外部结构示意图</w:t>
      </w:r>
      <w:r>
        <w:rPr>
          <w:rFonts w:hint="eastAsia" w:ascii="仿宋_GB2312" w:hAnsi="仿宋_GB2312" w:eastAsia="仿宋_GB2312" w:cs="仿宋_GB2312"/>
          <w:color w:val="000000"/>
          <w:sz w:val="28"/>
          <w:szCs w:val="28"/>
          <w:lang w:val="en-US" w:eastAsia="zh-CN" w:bidi="zh-TW"/>
        </w:rPr>
        <w:drawing>
          <wp:anchor distT="0" distB="0" distL="114300" distR="114300" simplePos="0" relativeHeight="251660288" behindDoc="1" locked="0" layoutInCell="1" allowOverlap="1">
            <wp:simplePos x="0" y="0"/>
            <wp:positionH relativeFrom="column">
              <wp:posOffset>-720090</wp:posOffset>
            </wp:positionH>
            <wp:positionV relativeFrom="paragraph">
              <wp:posOffset>40640</wp:posOffset>
            </wp:positionV>
            <wp:extent cx="3655695" cy="3089910"/>
            <wp:effectExtent l="0" t="0" r="1905" b="15240"/>
            <wp:wrapTight wrapText="bothSides">
              <wp:wrapPolygon>
                <wp:start x="0" y="0"/>
                <wp:lineTo x="0" y="21440"/>
                <wp:lineTo x="21499" y="21440"/>
                <wp:lineTo x="21499" y="0"/>
                <wp:lineTo x="0" y="0"/>
              </wp:wrapPolygon>
            </wp:wrapTight>
            <wp:docPr id="1" name="图片 1" descr="a2e3d0f22901942f7b9a401b473810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a2e3d0f22901942f7b9a401b473810f"/>
                    <pic:cNvPicPr>
                      <a:picLocks noChangeAspect="1"/>
                    </pic:cNvPicPr>
                  </pic:nvPicPr>
                  <pic:blipFill>
                    <a:blip r:embed="rId12"/>
                    <a:srcRect l="20597" t="12379" r="23511" b="-1525"/>
                    <a:stretch>
                      <a:fillRect/>
                    </a:stretch>
                  </pic:blipFill>
                  <pic:spPr>
                    <a:xfrm>
                      <a:off x="0" y="0"/>
                      <a:ext cx="3655695" cy="3089910"/>
                    </a:xfrm>
                    <a:prstGeom prst="rect">
                      <a:avLst/>
                    </a:prstGeom>
                  </pic:spPr>
                </pic:pic>
              </a:graphicData>
            </a:graphic>
          </wp:anchor>
        </w:drawing>
      </w:r>
      <w:r>
        <w:rPr>
          <w:rFonts w:hint="eastAsia" w:ascii="仿宋_GB2312" w:hAnsi="仿宋_GB2312" w:eastAsia="仿宋_GB2312" w:cs="仿宋_GB2312"/>
          <w:sz w:val="28"/>
          <w:szCs w:val="28"/>
          <w:lang w:val="en-US" w:eastAsia="zh-CN"/>
        </w:rPr>
        <w:t xml:space="preserve">                  </w:t>
      </w:r>
      <w:r>
        <w:rPr>
          <w:rFonts w:hint="eastAsia" w:ascii="仿宋_GB2312" w:hAnsi="仿宋_GB2312" w:eastAsia="仿宋_GB2312" w:cs="仿宋_GB2312"/>
          <w:kern w:val="2"/>
          <w:sz w:val="28"/>
          <w:szCs w:val="28"/>
          <w:lang w:val="en-US" w:eastAsia="zh-CN" w:bidi="ar-SA"/>
        </w:rPr>
        <w:t>图3 水箱内部结构示意图</w:t>
      </w:r>
    </w:p>
    <w:p w14:paraId="48B3DC5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lang w:val="en-US" w:eastAsia="zh-CN"/>
        </w:rPr>
      </w:pPr>
      <w:r>
        <w:rPr>
          <w:rFonts w:hint="default" w:ascii="Times New Roman" w:hAnsi="Times New Roman" w:cs="Times New Roman"/>
          <w:lang w:val="en-US" w:eastAsia="zh-CN"/>
        </w:rPr>
        <w:t>3.</w:t>
      </w:r>
      <w:r>
        <w:rPr>
          <w:rFonts w:hint="eastAsia"/>
          <w:lang w:val="en-US" w:eastAsia="zh-CN"/>
        </w:rPr>
        <w:t>除尘情况</w:t>
      </w:r>
    </w:p>
    <w:p w14:paraId="075B3EB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lang w:val="en-US" w:eastAsia="zh-CN"/>
        </w:rPr>
      </w:pPr>
      <w:r>
        <w:rPr>
          <w:rFonts w:hint="eastAsia"/>
          <w:lang w:val="en-US" w:eastAsia="zh-CN"/>
        </w:rPr>
        <w:t>布袋除尘器过滤后排出的锌尘废气经水箱东侧的风机正压吹送进水箱，由水再次过滤后沿管道向大气排放。</w:t>
      </w:r>
    </w:p>
    <w:p w14:paraId="4998059D">
      <w:pPr>
        <w:pStyle w:val="3"/>
        <w:bidi w:val="0"/>
        <w:rPr>
          <w:rFonts w:hint="default" w:ascii="Times New Roman" w:hAnsi="Times New Roman" w:eastAsia="仿宋_GB2312" w:cs="Times New Roman"/>
          <w:color w:val="auto"/>
          <w:kern w:val="2"/>
          <w:szCs w:val="32"/>
          <w:lang w:val="en-US" w:eastAsia="zh-CN" w:bidi="ar-SA"/>
        </w:rPr>
      </w:pPr>
      <w:bookmarkStart w:id="35" w:name="_Toc17044"/>
      <w:r>
        <w:rPr>
          <w:rFonts w:hint="eastAsia"/>
          <w:lang w:val="en-US" w:eastAsia="zh-CN"/>
        </w:rPr>
        <w:t>（六）检测情况</w:t>
      </w:r>
      <w:bookmarkEnd w:id="35"/>
    </w:p>
    <w:p w14:paraId="7EB5E91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lang w:val="en-US" w:eastAsia="zh-CN"/>
        </w:rPr>
      </w:pPr>
      <w:r>
        <w:rPr>
          <w:rFonts w:hint="eastAsia"/>
          <w:lang w:val="en-US" w:eastAsia="zh-CN"/>
        </w:rPr>
        <w:t>事故发生后，经对</w:t>
      </w:r>
      <w:r>
        <w:rPr>
          <w:rFonts w:hint="default" w:ascii="Times New Roman" w:hAnsi="Times New Roman" w:cs="Times New Roman"/>
          <w:lang w:val="en-US" w:eastAsia="zh-CN"/>
        </w:rPr>
        <w:t>水箱内沉淀物检测</w:t>
      </w:r>
      <w:r>
        <w:rPr>
          <w:rFonts w:hint="eastAsia" w:ascii="Times New Roman" w:hAnsi="Times New Roman" w:cs="Times New Roman"/>
          <w:lang w:val="en-US" w:eastAsia="zh-CN"/>
        </w:rPr>
        <w:t>，</w:t>
      </w:r>
      <w:r>
        <w:rPr>
          <w:rFonts w:hint="default" w:ascii="Times New Roman" w:hAnsi="Times New Roman" w:cs="Times New Roman"/>
          <w:lang w:val="en-US" w:eastAsia="zh-CN"/>
        </w:rPr>
        <w:t>主要成分为：水锌矿（Zn</w:t>
      </w:r>
      <w:r>
        <w:rPr>
          <w:rFonts w:hint="default" w:ascii="Times New Roman" w:hAnsi="Times New Roman" w:cs="Times New Roman"/>
          <w:vertAlign w:val="subscript"/>
          <w:lang w:val="en-US" w:eastAsia="zh-CN"/>
        </w:rPr>
        <w:t>5</w:t>
      </w:r>
      <w:r>
        <w:rPr>
          <w:rFonts w:hint="default" w:ascii="Times New Roman" w:hAnsi="Times New Roman" w:cs="Times New Roman"/>
          <w:lang w:val="en-US" w:eastAsia="zh-CN"/>
        </w:rPr>
        <w:t>(CO</w:t>
      </w:r>
      <w:r>
        <w:rPr>
          <w:rFonts w:hint="default" w:ascii="Times New Roman" w:hAnsi="Times New Roman" w:cs="Times New Roman"/>
          <w:vertAlign w:val="subscript"/>
          <w:lang w:val="en-US" w:eastAsia="zh-CN"/>
        </w:rPr>
        <w:t>3</w:t>
      </w:r>
      <w:r>
        <w:rPr>
          <w:rFonts w:hint="default" w:ascii="Times New Roman" w:hAnsi="Times New Roman" w:cs="Times New Roman"/>
          <w:lang w:val="en-US" w:eastAsia="zh-CN"/>
        </w:rPr>
        <w:t>)</w:t>
      </w:r>
      <w:r>
        <w:rPr>
          <w:rFonts w:hint="default" w:ascii="Times New Roman" w:hAnsi="Times New Roman" w:cs="Times New Roman"/>
          <w:vertAlign w:val="subscript"/>
          <w:lang w:val="en-US" w:eastAsia="zh-CN"/>
        </w:rPr>
        <w:t>2</w:t>
      </w:r>
      <w:r>
        <w:rPr>
          <w:rFonts w:hint="default" w:ascii="Times New Roman" w:hAnsi="Times New Roman" w:cs="Times New Roman"/>
          <w:lang w:val="en-US" w:eastAsia="zh-CN"/>
        </w:rPr>
        <w:t>(OH)</w:t>
      </w:r>
      <w:r>
        <w:rPr>
          <w:rFonts w:hint="default" w:ascii="Times New Roman" w:hAnsi="Times New Roman" w:cs="Times New Roman"/>
          <w:vertAlign w:val="subscript"/>
          <w:lang w:val="en-US" w:eastAsia="zh-CN"/>
        </w:rPr>
        <w:t>6</w:t>
      </w:r>
      <w:r>
        <w:rPr>
          <w:rFonts w:hint="default" w:ascii="Times New Roman" w:hAnsi="Times New Roman" w:cs="Times New Roman"/>
          <w:lang w:val="en-US" w:eastAsia="zh-CN"/>
        </w:rPr>
        <w:t>）39.26%、锌（Zn）30.91% 、红锌矿（ZnO）29.83%。粒径主要集中在1-110μm之间，近似正态分布，约90%的粒径小于60μm。</w:t>
      </w:r>
    </w:p>
    <w:p w14:paraId="2A6E3FF5">
      <w:pPr>
        <w:pStyle w:val="2"/>
        <w:pageBreakBefore w:val="0"/>
        <w:kinsoku/>
        <w:wordWrap/>
        <w:overflowPunct/>
        <w:topLinePunct w:val="0"/>
        <w:bidi w:val="0"/>
        <w:snapToGrid/>
        <w:spacing w:line="560" w:lineRule="exact"/>
        <w:ind w:left="0" w:leftChars="0" w:firstLine="640" w:firstLineChars="200"/>
        <w:textAlignment w:val="auto"/>
        <w:rPr>
          <w:rFonts w:hint="eastAsia"/>
        </w:rPr>
      </w:pPr>
      <w:bookmarkStart w:id="36" w:name="_Toc20075"/>
      <w:bookmarkStart w:id="37" w:name="_Toc928"/>
      <w:r>
        <w:rPr>
          <w:rFonts w:hint="eastAsia"/>
        </w:rPr>
        <w:t>二、事故发生的经过及应急处置情况</w:t>
      </w:r>
      <w:bookmarkEnd w:id="36"/>
      <w:bookmarkEnd w:id="37"/>
      <w:bookmarkStart w:id="38" w:name="_Toc6770"/>
    </w:p>
    <w:p w14:paraId="063B4FFF">
      <w:pPr>
        <w:pStyle w:val="3"/>
        <w:bidi w:val="0"/>
        <w:rPr>
          <w:rFonts w:hint="eastAsia" w:ascii="Arial" w:hAnsi="Arial" w:eastAsia="楷体" w:cs="Times New Roman"/>
          <w:color w:val="000000"/>
          <w:kern w:val="2"/>
          <w:szCs w:val="24"/>
          <w:lang w:val="en-US" w:eastAsia="zh-CN" w:bidi="ar-SA"/>
        </w:rPr>
      </w:pPr>
      <w:bookmarkStart w:id="39" w:name="_Toc15300"/>
      <w:r>
        <w:rPr>
          <w:rFonts w:hint="eastAsia"/>
          <w:lang w:val="en-US" w:eastAsia="zh-CN"/>
        </w:rPr>
        <w:t>（一）事故经过</w:t>
      </w:r>
      <w:bookmarkEnd w:id="38"/>
      <w:bookmarkEnd w:id="39"/>
    </w:p>
    <w:p w14:paraId="520B0B07">
      <w:pPr>
        <w:pStyle w:val="5"/>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eastAsia" w:ascii="Times New Roman" w:hAnsi="Times New Roman" w:cs="Times New Roman"/>
          <w:sz w:val="32"/>
          <w:szCs w:val="32"/>
          <w:lang w:val="en-US" w:eastAsia="zh-CN"/>
        </w:rPr>
      </w:pPr>
      <w:r>
        <w:rPr>
          <w:rFonts w:hint="eastAsia" w:ascii="Times New Roman" w:hAnsi="Times New Roman" w:cs="Times New Roman"/>
          <w:sz w:val="32"/>
          <w:szCs w:val="32"/>
          <w:lang w:val="en-US" w:eastAsia="zh-CN"/>
        </w:rPr>
        <w:t>2025年3月10日上午，</w:t>
      </w:r>
      <w:bookmarkStart w:id="40" w:name="OLE_LINK3"/>
      <w:r>
        <w:rPr>
          <w:rFonts w:hint="eastAsia" w:ascii="Times New Roman" w:hAnsi="Times New Roman" w:cs="Times New Roman"/>
          <w:sz w:val="32"/>
          <w:szCs w:val="32"/>
          <w:lang w:val="en-US" w:eastAsia="zh-CN"/>
        </w:rPr>
        <w:t>振兴公司</w:t>
      </w:r>
      <w:bookmarkEnd w:id="40"/>
      <w:r>
        <w:rPr>
          <w:rFonts w:hint="eastAsia" w:ascii="Times New Roman" w:hAnsi="Times New Roman" w:cs="Times New Roman"/>
          <w:sz w:val="32"/>
          <w:szCs w:val="32"/>
          <w:lang w:val="en-US" w:eastAsia="zh-CN"/>
        </w:rPr>
        <w:t>厂长董某良根据排产情况安排4#</w:t>
      </w:r>
      <w:r>
        <w:rPr>
          <w:rFonts w:hint="eastAsia" w:ascii="Times New Roman" w:hAnsi="Times New Roman"/>
          <w:sz w:val="32"/>
          <w:szCs w:val="32"/>
          <w:lang w:val="en-US" w:eastAsia="zh-CN"/>
        </w:rPr>
        <w:t>镀锌车间停产，同时对</w:t>
      </w:r>
      <w:r>
        <w:rPr>
          <w:rFonts w:hint="eastAsia" w:ascii="Times New Roman" w:hAnsi="Times New Roman" w:cs="Times New Roman"/>
          <w:sz w:val="32"/>
          <w:szCs w:val="32"/>
          <w:lang w:val="en-US" w:eastAsia="zh-CN"/>
        </w:rPr>
        <w:t>4#</w:t>
      </w:r>
      <w:r>
        <w:rPr>
          <w:rFonts w:hint="eastAsia" w:ascii="Times New Roman" w:hAnsi="Times New Roman"/>
          <w:sz w:val="32"/>
          <w:szCs w:val="32"/>
          <w:lang w:val="en-US" w:eastAsia="zh-CN"/>
        </w:rPr>
        <w:t>镀锌车间配套的环保治理设施做断电处理</w:t>
      </w:r>
      <w:r>
        <w:rPr>
          <w:rFonts w:hint="eastAsia" w:ascii="Times New Roman" w:hAnsi="Times New Roman" w:cs="Times New Roman"/>
          <w:sz w:val="32"/>
          <w:szCs w:val="32"/>
          <w:lang w:val="en-US" w:eastAsia="zh-CN"/>
        </w:rPr>
        <w:t>。</w:t>
      </w:r>
    </w:p>
    <w:p w14:paraId="452FF860">
      <w:pPr>
        <w:pStyle w:val="5"/>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eastAsia" w:ascii="Times New Roman" w:hAnsi="Times New Roman"/>
          <w:sz w:val="32"/>
          <w:szCs w:val="32"/>
          <w:lang w:val="en-US" w:eastAsia="zh-CN"/>
        </w:rPr>
      </w:pPr>
      <w:r>
        <w:rPr>
          <w:rFonts w:hint="eastAsia" w:ascii="Times New Roman" w:hAnsi="Times New Roman" w:cs="Times New Roman"/>
          <w:sz w:val="32"/>
          <w:szCs w:val="32"/>
          <w:lang w:val="en-US" w:eastAsia="zh-CN"/>
        </w:rPr>
        <w:t>2025年3月12日7时30分左右，董某良组织振兴公司4#</w:t>
      </w:r>
      <w:r>
        <w:rPr>
          <w:rFonts w:hint="eastAsia" w:ascii="Times New Roman" w:hAnsi="Times New Roman"/>
          <w:sz w:val="32"/>
          <w:szCs w:val="32"/>
          <w:lang w:val="en-US" w:eastAsia="zh-CN"/>
        </w:rPr>
        <w:t>镀锌车间</w:t>
      </w:r>
      <w:r>
        <w:rPr>
          <w:rFonts w:hint="eastAsia" w:ascii="Times New Roman" w:hAnsi="Times New Roman" w:cs="Times New Roman"/>
          <w:sz w:val="32"/>
          <w:szCs w:val="32"/>
          <w:lang w:val="en-US" w:eastAsia="zh-CN"/>
        </w:rPr>
        <w:t>班长周某宁等人开早会，安排周某宁组织人员清理</w:t>
      </w:r>
      <w:r>
        <w:rPr>
          <w:rFonts w:hint="eastAsia" w:ascii="Times New Roman" w:hAnsi="Times New Roman"/>
          <w:sz w:val="32"/>
          <w:szCs w:val="32"/>
          <w:lang w:val="en-US" w:eastAsia="zh-CN"/>
        </w:rPr>
        <w:t>布袋除尘器里的锌尘。</w:t>
      </w:r>
    </w:p>
    <w:p w14:paraId="3FFABFD1">
      <w:pPr>
        <w:pStyle w:val="5"/>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eastAsia" w:ascii="Times New Roman" w:hAnsi="Times New Roman"/>
          <w:sz w:val="32"/>
          <w:szCs w:val="32"/>
          <w:lang w:val="en-US" w:eastAsia="zh-CN"/>
        </w:rPr>
      </w:pPr>
      <w:r>
        <w:rPr>
          <w:rFonts w:hint="eastAsia" w:ascii="Times New Roman" w:hAnsi="Times New Roman" w:eastAsia="宋体" w:cs="Times New Roman"/>
          <w:b w:val="0"/>
          <w:bCs w:val="0"/>
          <w:color w:val="000000" w:themeColor="text1"/>
          <w:kern w:val="2"/>
          <w:sz w:val="24"/>
          <w:szCs w:val="24"/>
          <w:lang w:val="en-US" w:eastAsia="zh-CN" w:bidi="zh-TW"/>
          <w14:textFill>
            <w14:solidFill>
              <w14:schemeClr w14:val="tx1"/>
            </w14:solidFill>
          </w14:textFill>
        </w:rPr>
        <w:drawing>
          <wp:anchor distT="0" distB="0" distL="114300" distR="114300" simplePos="0" relativeHeight="251661312" behindDoc="1" locked="0" layoutInCell="1" allowOverlap="1">
            <wp:simplePos x="0" y="0"/>
            <wp:positionH relativeFrom="column">
              <wp:posOffset>732155</wp:posOffset>
            </wp:positionH>
            <wp:positionV relativeFrom="paragraph">
              <wp:posOffset>3543935</wp:posOffset>
            </wp:positionV>
            <wp:extent cx="4311015" cy="2712085"/>
            <wp:effectExtent l="0" t="0" r="13335" b="0"/>
            <wp:wrapTight wrapText="bothSides">
              <wp:wrapPolygon>
                <wp:start x="0" y="0"/>
                <wp:lineTo x="0" y="21393"/>
                <wp:lineTo x="21476" y="21393"/>
                <wp:lineTo x="21476" y="0"/>
                <wp:lineTo x="0" y="0"/>
              </wp:wrapPolygon>
            </wp:wrapTight>
            <wp:docPr id="2" name="图片 2" descr="IMG_20250317_1529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IMG_20250317_152945"/>
                    <pic:cNvPicPr>
                      <a:picLocks noChangeAspect="1"/>
                    </pic:cNvPicPr>
                  </pic:nvPicPr>
                  <pic:blipFill>
                    <a:blip r:embed="rId13"/>
                    <a:stretch>
                      <a:fillRect/>
                    </a:stretch>
                  </pic:blipFill>
                  <pic:spPr>
                    <a:xfrm>
                      <a:off x="0" y="0"/>
                      <a:ext cx="4311015" cy="2712085"/>
                    </a:xfrm>
                    <a:prstGeom prst="rect">
                      <a:avLst/>
                    </a:prstGeom>
                  </pic:spPr>
                </pic:pic>
              </a:graphicData>
            </a:graphic>
          </wp:anchor>
        </w:drawing>
      </w:r>
      <w:r>
        <w:rPr>
          <w:rFonts w:hint="eastAsia" w:ascii="Times New Roman" w:hAnsi="Times New Roman" w:cs="Times New Roman"/>
          <w:sz w:val="32"/>
          <w:szCs w:val="32"/>
          <w:lang w:val="en-US" w:eastAsia="zh-CN"/>
        </w:rPr>
        <w:t>8时许，周某宁安排打包组组长何某章组织人员清理布袋除尘器里的锌尘。随后，何某章独自来到4#镀锌车间的配套除尘间内。8时25分左右，何某章爬上水箱站在水箱顶部查看水量过程中，水箱发生爆炸。</w:t>
      </w:r>
      <w:r>
        <w:rPr>
          <w:rFonts w:hint="eastAsia" w:ascii="Times New Roman" w:hAnsi="Times New Roman"/>
          <w:sz w:val="32"/>
          <w:szCs w:val="32"/>
          <w:lang w:val="en-US" w:eastAsia="zh-CN"/>
        </w:rPr>
        <w:t>事故造成水箱破损，其箱体南侧钢板鼓起，向南鼓起最大距离约25cm；水箱顶部钢板向南掀起，掀起最大高度约85cm。爆炸的冲击力将水箱顶部的何某章抛向南侧墙面，而后坠地。振兴公司打包工赵某东闻声赶来，发现何某章躺在地上，立即上报打包班长谢某建，谢某建、董某良、何某章等人到达现场后将何某章送往天津市环湖医院救治，11时许，何某章经抢救无效死亡。</w:t>
      </w:r>
      <w:bookmarkStart w:id="41" w:name="_Toc28380"/>
    </w:p>
    <w:p w14:paraId="477E8084">
      <w:pPr>
        <w:pStyle w:val="2"/>
        <w:pageBreakBefore w:val="0"/>
        <w:kinsoku/>
        <w:wordWrap/>
        <w:overflowPunct/>
        <w:topLinePunct w:val="0"/>
        <w:bidi w:val="0"/>
        <w:snapToGrid/>
        <w:spacing w:line="560" w:lineRule="exact"/>
        <w:ind w:left="0" w:leftChars="0" w:firstLine="640" w:firstLineChars="200"/>
        <w:textAlignment w:val="auto"/>
        <w:rPr>
          <w:rFonts w:hint="eastAsia" w:ascii="Arial" w:hAnsi="Arial" w:eastAsia="楷体" w:cs="Times New Roman"/>
          <w:color w:val="000000"/>
          <w:kern w:val="2"/>
          <w:sz w:val="32"/>
          <w:szCs w:val="24"/>
          <w:lang w:val="en-US" w:eastAsia="zh-CN" w:bidi="ar-SA"/>
        </w:rPr>
      </w:pPr>
    </w:p>
    <w:p w14:paraId="0E9D134F">
      <w:pPr>
        <w:pStyle w:val="2"/>
        <w:pageBreakBefore w:val="0"/>
        <w:kinsoku/>
        <w:wordWrap/>
        <w:overflowPunct/>
        <w:topLinePunct w:val="0"/>
        <w:bidi w:val="0"/>
        <w:snapToGrid/>
        <w:spacing w:line="560" w:lineRule="exact"/>
        <w:ind w:left="0" w:leftChars="0" w:firstLine="640" w:firstLineChars="200"/>
        <w:textAlignment w:val="auto"/>
        <w:rPr>
          <w:rFonts w:hint="eastAsia" w:ascii="Arial" w:hAnsi="Arial" w:eastAsia="楷体" w:cs="Times New Roman"/>
          <w:color w:val="000000"/>
          <w:kern w:val="2"/>
          <w:sz w:val="32"/>
          <w:szCs w:val="24"/>
          <w:lang w:val="en-US" w:eastAsia="zh-CN" w:bidi="ar-SA"/>
        </w:rPr>
      </w:pPr>
    </w:p>
    <w:p w14:paraId="3336DA6F">
      <w:pPr>
        <w:rPr>
          <w:rFonts w:hint="eastAsia" w:ascii="Arial" w:hAnsi="Arial" w:eastAsia="楷体" w:cs="Times New Roman"/>
          <w:color w:val="000000"/>
          <w:kern w:val="2"/>
          <w:sz w:val="32"/>
          <w:szCs w:val="24"/>
          <w:lang w:val="en-US" w:eastAsia="zh-CN" w:bidi="ar-SA"/>
        </w:rPr>
      </w:pPr>
    </w:p>
    <w:p w14:paraId="1FBB3B5D">
      <w:pPr>
        <w:pStyle w:val="5"/>
        <w:rPr>
          <w:rFonts w:hint="eastAsia" w:ascii="Arial" w:hAnsi="Arial" w:eastAsia="楷体" w:cs="Times New Roman"/>
          <w:color w:val="000000"/>
          <w:kern w:val="2"/>
          <w:sz w:val="32"/>
          <w:szCs w:val="24"/>
          <w:lang w:val="en-US" w:eastAsia="zh-CN" w:bidi="ar-SA"/>
        </w:rPr>
      </w:pPr>
    </w:p>
    <w:p w14:paraId="6CC6EF56">
      <w:pPr>
        <w:pStyle w:val="5"/>
        <w:rPr>
          <w:rFonts w:hint="eastAsia" w:ascii="Arial" w:hAnsi="Arial" w:eastAsia="楷体" w:cs="Times New Roman"/>
          <w:color w:val="000000"/>
          <w:kern w:val="2"/>
          <w:sz w:val="32"/>
          <w:szCs w:val="24"/>
          <w:lang w:val="en-US" w:eastAsia="zh-CN" w:bidi="ar-SA"/>
        </w:rPr>
      </w:pPr>
    </w:p>
    <w:p w14:paraId="0C603CAD">
      <w:pPr>
        <w:pStyle w:val="5"/>
        <w:rPr>
          <w:rFonts w:hint="eastAsia" w:ascii="Arial" w:hAnsi="Arial" w:eastAsia="楷体" w:cs="Times New Roman"/>
          <w:color w:val="000000"/>
          <w:kern w:val="2"/>
          <w:sz w:val="32"/>
          <w:szCs w:val="24"/>
          <w:lang w:val="en-US" w:eastAsia="zh-CN" w:bidi="ar-SA"/>
        </w:rPr>
      </w:pPr>
    </w:p>
    <w:p w14:paraId="2E61ABD4">
      <w:pPr>
        <w:pStyle w:val="5"/>
        <w:rPr>
          <w:rFonts w:hint="eastAsia" w:ascii="Arial" w:hAnsi="Arial" w:eastAsia="楷体" w:cs="Times New Roman"/>
          <w:color w:val="000000"/>
          <w:kern w:val="2"/>
          <w:sz w:val="32"/>
          <w:szCs w:val="24"/>
          <w:lang w:val="en-US" w:eastAsia="zh-CN" w:bidi="ar-SA"/>
        </w:rPr>
      </w:pPr>
    </w:p>
    <w:p w14:paraId="4072379B">
      <w:pPr>
        <w:bidi w:val="0"/>
        <w:jc w:val="center"/>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图4 事发后现场图</w:t>
      </w:r>
    </w:p>
    <w:p w14:paraId="2414FDB5">
      <w:pPr>
        <w:pStyle w:val="5"/>
        <w:pageBreakBefore w:val="0"/>
        <w:kinsoku/>
        <w:wordWrap/>
        <w:overflowPunct/>
        <w:topLinePunct w:val="0"/>
        <w:bidi w:val="0"/>
        <w:snapToGrid/>
        <w:spacing w:line="560" w:lineRule="exact"/>
        <w:ind w:firstLine="640"/>
        <w:textAlignment w:val="auto"/>
        <w:rPr>
          <w:rFonts w:hint="default" w:eastAsia="仿宋_GB2312"/>
          <w:lang w:val="en-US" w:eastAsia="zh-CN"/>
        </w:rPr>
      </w:pPr>
      <w:r>
        <w:rPr>
          <w:rFonts w:hint="eastAsia" w:ascii="仿宋_GB2312" w:eastAsia="仿宋_GB2312"/>
          <w:sz w:val="32"/>
          <w:szCs w:val="32"/>
        </w:rPr>
        <w:t>经</w:t>
      </w:r>
      <w:r>
        <w:rPr>
          <w:rFonts w:ascii="仿宋_GB2312" w:eastAsia="仿宋_GB2312"/>
          <w:sz w:val="32"/>
          <w:szCs w:val="32"/>
        </w:rPr>
        <w:t>专家现场勘查</w:t>
      </w:r>
      <w:r>
        <w:rPr>
          <w:rFonts w:hint="eastAsia" w:ascii="仿宋_GB2312"/>
          <w:sz w:val="32"/>
          <w:szCs w:val="32"/>
          <w:lang w:eastAsia="zh-CN"/>
        </w:rPr>
        <w:t>、检测鉴定</w:t>
      </w:r>
      <w:r>
        <w:rPr>
          <w:rFonts w:ascii="仿宋_GB2312" w:eastAsia="仿宋_GB2312"/>
          <w:sz w:val="32"/>
          <w:szCs w:val="32"/>
        </w:rPr>
        <w:t>及技术分析，</w:t>
      </w:r>
      <w:r>
        <w:rPr>
          <w:rFonts w:hint="eastAsia" w:ascii="仿宋_GB2312" w:eastAsia="仿宋_GB2312"/>
          <w:sz w:val="32"/>
          <w:szCs w:val="32"/>
        </w:rPr>
        <w:t>推定</w:t>
      </w:r>
      <w:r>
        <w:rPr>
          <w:rFonts w:ascii="仿宋_GB2312" w:eastAsia="仿宋_GB2312"/>
          <w:sz w:val="32"/>
          <w:szCs w:val="32"/>
        </w:rPr>
        <w:t>出</w:t>
      </w:r>
      <w:r>
        <w:rPr>
          <w:rFonts w:hint="eastAsia" w:ascii="仿宋_GB2312"/>
          <w:sz w:val="32"/>
          <w:szCs w:val="32"/>
          <w:lang w:eastAsia="zh-CN"/>
        </w:rPr>
        <w:t>本次爆炸相当于</w:t>
      </w:r>
      <w:r>
        <w:rPr>
          <w:rFonts w:hint="default" w:ascii="Times New Roman" w:hAnsi="Times New Roman" w:cs="Times New Roman"/>
          <w:sz w:val="32"/>
          <w:szCs w:val="32"/>
          <w:lang w:val="en-US" w:eastAsia="zh-CN"/>
        </w:rPr>
        <w:t>100gTNT</w:t>
      </w:r>
      <w:r>
        <w:rPr>
          <w:rFonts w:hint="eastAsia" w:ascii="仿宋_GB2312"/>
          <w:sz w:val="32"/>
          <w:szCs w:val="32"/>
          <w:lang w:val="en-US" w:eastAsia="zh-CN"/>
        </w:rPr>
        <w:t>爆炸当量。</w:t>
      </w:r>
    </w:p>
    <w:p w14:paraId="5E2F4E67">
      <w:pPr>
        <w:pStyle w:val="2"/>
        <w:pageBreakBefore w:val="0"/>
        <w:kinsoku/>
        <w:wordWrap/>
        <w:overflowPunct/>
        <w:topLinePunct w:val="0"/>
        <w:bidi w:val="0"/>
        <w:snapToGrid/>
        <w:spacing w:line="560" w:lineRule="exact"/>
        <w:ind w:left="0" w:leftChars="0" w:firstLine="640" w:firstLineChars="200"/>
        <w:textAlignment w:val="auto"/>
        <w:rPr>
          <w:rFonts w:hint="eastAsia" w:ascii="Arial" w:hAnsi="Arial" w:eastAsia="楷体" w:cs="Times New Roman"/>
          <w:color w:val="000000"/>
          <w:kern w:val="2"/>
          <w:sz w:val="32"/>
          <w:szCs w:val="24"/>
          <w:lang w:val="en-US" w:eastAsia="zh-CN" w:bidi="ar-SA"/>
        </w:rPr>
      </w:pPr>
      <w:bookmarkStart w:id="42" w:name="_Toc9450"/>
      <w:r>
        <w:rPr>
          <w:rFonts w:hint="eastAsia" w:ascii="Arial" w:hAnsi="Arial" w:eastAsia="楷体" w:cs="Times New Roman"/>
          <w:color w:val="000000"/>
          <w:kern w:val="2"/>
          <w:sz w:val="32"/>
          <w:szCs w:val="24"/>
          <w:lang w:val="en-US" w:eastAsia="zh-CN" w:bidi="ar-SA"/>
        </w:rPr>
        <w:t>（二）事故应急处置情况</w:t>
      </w:r>
      <w:bookmarkEnd w:id="41"/>
      <w:bookmarkEnd w:id="42"/>
    </w:p>
    <w:p w14:paraId="0AACE44B">
      <w:pPr>
        <w:pageBreakBefore w:val="0"/>
        <w:kinsoku/>
        <w:wordWrap/>
        <w:overflowPunct/>
        <w:topLinePunct w:val="0"/>
        <w:bidi w:val="0"/>
        <w:snapToGrid/>
        <w:spacing w:line="560" w:lineRule="exact"/>
        <w:ind w:firstLine="640" w:firstLineChars="200"/>
        <w:jc w:val="both"/>
        <w:textAlignment w:val="auto"/>
        <w:rPr>
          <w:rFonts w:hint="eastAsia"/>
          <w:lang w:eastAsia="zh-CN"/>
        </w:rPr>
      </w:pPr>
      <w:r>
        <w:rPr>
          <w:rFonts w:hint="eastAsia" w:ascii="仿宋_GB2312" w:eastAsia="仿宋_GB2312"/>
          <w:sz w:val="32"/>
          <w:szCs w:val="32"/>
        </w:rPr>
        <w:t>事故发生后，</w:t>
      </w:r>
      <w:r>
        <w:rPr>
          <w:rFonts w:hint="eastAsia" w:ascii="仿宋_GB2312"/>
          <w:sz w:val="32"/>
          <w:szCs w:val="32"/>
          <w:lang w:eastAsia="zh-CN"/>
        </w:rPr>
        <w:t>振兴公司现场人员及时将事故情况上报公司领导，积极组织开展救援，将伤者送医救治</w:t>
      </w:r>
      <w:r>
        <w:rPr>
          <w:rFonts w:hint="eastAsia" w:ascii="仿宋_GB2312" w:eastAsia="仿宋_GB2312"/>
          <w:sz w:val="32"/>
          <w:szCs w:val="32"/>
        </w:rPr>
        <w:t>。</w:t>
      </w:r>
      <w:r>
        <w:rPr>
          <w:rFonts w:hint="eastAsia" w:ascii="仿宋_GB2312"/>
          <w:sz w:val="32"/>
          <w:szCs w:val="32"/>
          <w:lang w:eastAsia="zh-CN"/>
        </w:rPr>
        <w:t>政府部门接到事故报告后，</w:t>
      </w:r>
      <w:r>
        <w:rPr>
          <w:rFonts w:hint="eastAsia" w:ascii="仿宋_GB2312" w:eastAsia="仿宋_GB2312"/>
          <w:sz w:val="32"/>
          <w:szCs w:val="32"/>
        </w:rPr>
        <w:t>区应急管理局、公安静海分局、</w:t>
      </w:r>
      <w:r>
        <w:rPr>
          <w:rFonts w:hint="eastAsia" w:ascii="仿宋_GB2312"/>
          <w:sz w:val="32"/>
          <w:szCs w:val="32"/>
          <w:lang w:eastAsia="zh-CN"/>
        </w:rPr>
        <w:t>大邱庄镇政府</w:t>
      </w:r>
      <w:r>
        <w:rPr>
          <w:rFonts w:hint="eastAsia" w:ascii="仿宋_GB2312" w:eastAsia="仿宋_GB2312"/>
          <w:sz w:val="32"/>
          <w:szCs w:val="32"/>
        </w:rPr>
        <w:t>等</w:t>
      </w:r>
      <w:r>
        <w:rPr>
          <w:rFonts w:hint="eastAsia" w:ascii="仿宋_GB2312"/>
          <w:sz w:val="32"/>
          <w:szCs w:val="32"/>
          <w:lang w:eastAsia="zh-CN"/>
        </w:rPr>
        <w:t>单位</w:t>
      </w:r>
      <w:r>
        <w:rPr>
          <w:rFonts w:hint="eastAsia" w:ascii="仿宋_GB2312" w:eastAsia="仿宋_GB2312"/>
          <w:sz w:val="32"/>
          <w:szCs w:val="32"/>
        </w:rPr>
        <w:t>有关领导第一时间赶赴事故现场，开展事故应急救援和善后处置工作</w:t>
      </w:r>
      <w:r>
        <w:rPr>
          <w:rFonts w:hint="eastAsia" w:ascii="仿宋_GB2312"/>
          <w:sz w:val="32"/>
          <w:szCs w:val="32"/>
          <w:lang w:eastAsia="zh-CN"/>
        </w:rPr>
        <w:t>。该起事故组织有序、救援得当，未造成事故扩大、次生灾害和网络舆情，应急处置措施得当。</w:t>
      </w:r>
    </w:p>
    <w:p w14:paraId="3BA01944">
      <w:pPr>
        <w:pStyle w:val="2"/>
        <w:pageBreakBefore w:val="0"/>
        <w:kinsoku/>
        <w:wordWrap/>
        <w:overflowPunct/>
        <w:topLinePunct w:val="0"/>
        <w:bidi w:val="0"/>
        <w:snapToGrid/>
        <w:spacing w:line="560" w:lineRule="exact"/>
        <w:textAlignment w:val="auto"/>
      </w:pPr>
      <w:bookmarkStart w:id="43" w:name="_Toc15873"/>
      <w:bookmarkStart w:id="44" w:name="_Toc27252"/>
      <w:r>
        <w:rPr>
          <w:rFonts w:hint="eastAsia"/>
        </w:rPr>
        <w:t>三、事故伤亡情况及直接经济损失</w:t>
      </w:r>
      <w:bookmarkEnd w:id="43"/>
      <w:bookmarkEnd w:id="44"/>
    </w:p>
    <w:p w14:paraId="2AE00AD2">
      <w:pPr>
        <w:pStyle w:val="3"/>
        <w:pageBreakBefore w:val="0"/>
        <w:kinsoku/>
        <w:wordWrap/>
        <w:overflowPunct/>
        <w:topLinePunct w:val="0"/>
        <w:bidi w:val="0"/>
        <w:snapToGrid/>
        <w:spacing w:line="560" w:lineRule="exact"/>
        <w:textAlignment w:val="auto"/>
        <w:rPr>
          <w:rFonts w:ascii="仿宋_GB2312" w:eastAsia="仿宋_GB2312"/>
          <w:szCs w:val="32"/>
        </w:rPr>
      </w:pPr>
      <w:bookmarkStart w:id="45" w:name="_Toc13781"/>
      <w:bookmarkStart w:id="46" w:name="_Toc20098"/>
      <w:r>
        <w:rPr>
          <w:rFonts w:hint="eastAsia"/>
        </w:rPr>
        <w:t>（一）</w:t>
      </w:r>
      <w:r>
        <w:rPr>
          <w:rFonts w:hint="eastAsia"/>
          <w:lang w:eastAsia="zh-CN"/>
        </w:rPr>
        <w:t>死</w:t>
      </w:r>
      <w:r>
        <w:rPr>
          <w:rFonts w:hint="eastAsia"/>
        </w:rPr>
        <w:t>亡</w:t>
      </w:r>
      <w:r>
        <w:rPr>
          <w:rFonts w:hint="eastAsia"/>
          <w:lang w:eastAsia="zh-CN"/>
        </w:rPr>
        <w:t>人员</w:t>
      </w:r>
      <w:r>
        <w:rPr>
          <w:rFonts w:hint="eastAsia"/>
        </w:rPr>
        <w:t>情况</w:t>
      </w:r>
      <w:bookmarkEnd w:id="45"/>
      <w:bookmarkEnd w:id="46"/>
    </w:p>
    <w:p w14:paraId="43D9413A">
      <w:pPr>
        <w:pStyle w:val="5"/>
        <w:pageBreakBefore w:val="0"/>
        <w:kinsoku/>
        <w:wordWrap/>
        <w:overflowPunct/>
        <w:topLinePunct w:val="0"/>
        <w:bidi w:val="0"/>
        <w:snapToGrid/>
        <w:spacing w:line="560" w:lineRule="exact"/>
        <w:ind w:firstLine="640"/>
        <w:textAlignment w:val="auto"/>
        <w:rPr>
          <w:rFonts w:ascii="仿宋_GB2312" w:eastAsia="仿宋_GB2312"/>
          <w:color w:val="FFC000" w:themeColor="accent4"/>
          <w:sz w:val="32"/>
          <w:szCs w:val="32"/>
          <w14:textFill>
            <w14:solidFill>
              <w14:schemeClr w14:val="accent4"/>
            </w14:solidFill>
          </w14:textFill>
        </w:rPr>
      </w:pPr>
      <w:r>
        <w:rPr>
          <w:rFonts w:hint="eastAsia" w:ascii="仿宋_GB2312" w:hAnsi="仿宋_GB2312" w:cs="仿宋_GB2312"/>
          <w:sz w:val="32"/>
          <w:szCs w:val="32"/>
          <w:lang w:eastAsia="zh-CN"/>
        </w:rPr>
        <w:t>何某章</w:t>
      </w:r>
      <w:r>
        <w:rPr>
          <w:rFonts w:hint="eastAsia" w:ascii="仿宋" w:hAnsi="仿宋" w:eastAsia="仿宋"/>
          <w:sz w:val="32"/>
          <w:szCs w:val="32"/>
        </w:rPr>
        <w:t>，</w:t>
      </w:r>
      <w:r>
        <w:rPr>
          <w:rFonts w:hint="eastAsia" w:ascii="仿宋" w:hAnsi="仿宋" w:eastAsia="仿宋"/>
          <w:sz w:val="32"/>
          <w:szCs w:val="32"/>
          <w:lang w:eastAsia="zh-CN"/>
        </w:rPr>
        <w:t>男，</w:t>
      </w:r>
      <w:r>
        <w:rPr>
          <w:rFonts w:hint="eastAsia" w:ascii="仿宋" w:hAnsi="仿宋" w:eastAsia="仿宋"/>
          <w:sz w:val="32"/>
          <w:szCs w:val="32"/>
          <w:lang w:val="en-US" w:eastAsia="zh-CN"/>
        </w:rPr>
        <w:t>57岁，</w:t>
      </w:r>
      <w:r>
        <w:rPr>
          <w:rFonts w:hint="eastAsia" w:ascii="仿宋_GB2312" w:hAnsi="仿宋_GB2312" w:eastAsia="仿宋_GB2312" w:cs="仿宋_GB2312"/>
          <w:sz w:val="32"/>
          <w:szCs w:val="32"/>
          <w:lang w:val="en-US" w:eastAsia="zh-CN"/>
        </w:rPr>
        <w:t>四川省巴中市人</w:t>
      </w:r>
      <w:r>
        <w:rPr>
          <w:rFonts w:hint="eastAsia" w:ascii="仿宋_GB2312" w:hAnsi="仿宋_GB2312" w:cs="仿宋_GB2312"/>
          <w:sz w:val="32"/>
          <w:szCs w:val="32"/>
          <w:lang w:val="en-US" w:eastAsia="zh-CN"/>
        </w:rPr>
        <w:t>，振兴公司打包组组长</w:t>
      </w:r>
      <w:r>
        <w:rPr>
          <w:rFonts w:ascii="仿宋_GB2312" w:eastAsia="仿宋_GB2312"/>
          <w:sz w:val="32"/>
          <w:szCs w:val="32"/>
        </w:rPr>
        <w:t>。</w:t>
      </w:r>
    </w:p>
    <w:p w14:paraId="2B4658AF">
      <w:pPr>
        <w:pStyle w:val="3"/>
        <w:pageBreakBefore w:val="0"/>
        <w:kinsoku/>
        <w:wordWrap/>
        <w:overflowPunct/>
        <w:topLinePunct w:val="0"/>
        <w:bidi w:val="0"/>
        <w:snapToGrid/>
        <w:spacing w:line="560" w:lineRule="exact"/>
        <w:textAlignment w:val="auto"/>
      </w:pPr>
      <w:bookmarkStart w:id="47" w:name="_Toc26720"/>
      <w:bookmarkStart w:id="48" w:name="_Toc25317"/>
      <w:r>
        <w:rPr>
          <w:rFonts w:hint="eastAsia"/>
        </w:rPr>
        <w:t>（二）事故直接经济损失</w:t>
      </w:r>
      <w:bookmarkEnd w:id="47"/>
      <w:bookmarkEnd w:id="48"/>
    </w:p>
    <w:p w14:paraId="4F305847">
      <w:pPr>
        <w:pStyle w:val="5"/>
        <w:pageBreakBefore w:val="0"/>
        <w:kinsoku/>
        <w:wordWrap/>
        <w:overflowPunct/>
        <w:topLinePunct w:val="0"/>
        <w:bidi w:val="0"/>
        <w:snapToGrid/>
        <w:spacing w:line="560" w:lineRule="exact"/>
        <w:ind w:firstLine="640"/>
        <w:jc w:val="both"/>
        <w:textAlignment w:val="auto"/>
        <w:rPr>
          <w:rFonts w:ascii="仿宋_GB2312" w:eastAsia="仿宋_GB2312"/>
          <w:sz w:val="32"/>
          <w:szCs w:val="32"/>
        </w:rPr>
      </w:pPr>
      <w:r>
        <w:rPr>
          <w:rFonts w:hint="eastAsia" w:ascii="仿宋_GB2312" w:eastAsia="仿宋_GB2312"/>
          <w:sz w:val="32"/>
          <w:szCs w:val="32"/>
        </w:rPr>
        <w:t>事故调查组依据《企业职工伤亡事故经济损失统计标准》（</w:t>
      </w:r>
      <w:r>
        <w:rPr>
          <w:rFonts w:hint="eastAsia" w:ascii="Times New Roman" w:hAnsi="Times New Roman" w:cs="Times New Roman"/>
          <w:sz w:val="32"/>
          <w:szCs w:val="32"/>
          <w:lang w:val="en-US" w:eastAsia="zh-CN"/>
        </w:rPr>
        <w:t>GB6721-1986</w:t>
      </w:r>
      <w:r>
        <w:rPr>
          <w:rFonts w:hint="eastAsia" w:ascii="仿宋_GB2312" w:eastAsia="仿宋_GB2312"/>
          <w:sz w:val="32"/>
          <w:szCs w:val="32"/>
        </w:rPr>
        <w:t>）的有关规定，确认该事故造成的直接经济损失约为</w:t>
      </w:r>
      <w:r>
        <w:rPr>
          <w:rFonts w:hint="eastAsia" w:ascii="Times New Roman" w:hAnsi="Times New Roman"/>
          <w:sz w:val="32"/>
          <w:szCs w:val="32"/>
          <w:lang w:val="en-US" w:eastAsia="zh-CN"/>
        </w:rPr>
        <w:t>150</w:t>
      </w:r>
      <w:r>
        <w:rPr>
          <w:rFonts w:hint="eastAsia" w:ascii="仿宋_GB2312" w:eastAsia="仿宋_GB2312"/>
          <w:sz w:val="32"/>
          <w:szCs w:val="32"/>
        </w:rPr>
        <w:t>万元人民币（不含事故罚款）。</w:t>
      </w:r>
    </w:p>
    <w:p w14:paraId="2934F266">
      <w:pPr>
        <w:pStyle w:val="2"/>
        <w:pageBreakBefore w:val="0"/>
        <w:kinsoku/>
        <w:wordWrap/>
        <w:overflowPunct/>
        <w:topLinePunct w:val="0"/>
        <w:bidi w:val="0"/>
        <w:snapToGrid/>
        <w:spacing w:line="560" w:lineRule="exact"/>
        <w:textAlignment w:val="auto"/>
        <w:rPr>
          <w:rFonts w:ascii="黑体" w:hAnsi="黑体" w:eastAsia="黑体" w:cs="黑体"/>
          <w:szCs w:val="32"/>
        </w:rPr>
      </w:pPr>
      <w:bookmarkStart w:id="49" w:name="_Toc10515"/>
      <w:bookmarkStart w:id="50" w:name="_Toc17549"/>
      <w:r>
        <w:rPr>
          <w:rFonts w:hint="eastAsia"/>
        </w:rPr>
        <w:t>四、事故原因和</w:t>
      </w:r>
      <w:r>
        <w:t>性质</w:t>
      </w:r>
      <w:bookmarkEnd w:id="49"/>
      <w:bookmarkEnd w:id="50"/>
    </w:p>
    <w:p w14:paraId="6E3C5814">
      <w:pPr>
        <w:pStyle w:val="3"/>
        <w:pageBreakBefore w:val="0"/>
        <w:kinsoku/>
        <w:wordWrap/>
        <w:overflowPunct/>
        <w:topLinePunct w:val="0"/>
        <w:bidi w:val="0"/>
        <w:snapToGrid/>
        <w:spacing w:line="560" w:lineRule="exact"/>
        <w:textAlignment w:val="auto"/>
        <w:rPr>
          <w:rFonts w:ascii="Times New Roman" w:hAnsi="Times New Roman" w:eastAsia="仿宋_GB2312"/>
          <w:szCs w:val="32"/>
        </w:rPr>
      </w:pPr>
      <w:bookmarkStart w:id="51" w:name="_Toc25021"/>
      <w:bookmarkStart w:id="52" w:name="_Toc10949"/>
      <w:r>
        <w:rPr>
          <w:rFonts w:hint="eastAsia"/>
        </w:rPr>
        <w:t>（一）事故</w:t>
      </w:r>
      <w:r>
        <w:t>直接原因</w:t>
      </w:r>
      <w:bookmarkEnd w:id="51"/>
      <w:bookmarkEnd w:id="52"/>
    </w:p>
    <w:p w14:paraId="0EC7595A">
      <w:pPr>
        <w:pStyle w:val="5"/>
        <w:pageBreakBefore w:val="0"/>
        <w:kinsoku/>
        <w:wordWrap/>
        <w:overflowPunct/>
        <w:topLinePunct w:val="0"/>
        <w:bidi w:val="0"/>
        <w:snapToGrid/>
        <w:spacing w:line="560" w:lineRule="exact"/>
        <w:ind w:firstLine="640"/>
        <w:textAlignment w:val="auto"/>
        <w:rPr>
          <w:rFonts w:hint="eastAsia" w:ascii="Times New Roman" w:hAnsi="Times New Roman" w:eastAsia="仿宋_GB2312"/>
          <w:sz w:val="32"/>
          <w:szCs w:val="32"/>
        </w:rPr>
      </w:pPr>
      <w:r>
        <w:rPr>
          <w:rFonts w:hint="eastAsia" w:ascii="仿宋_GB2312" w:eastAsia="仿宋_GB2312" w:cs="仿宋_GB2312"/>
          <w:sz w:val="32"/>
          <w:szCs w:val="32"/>
        </w:rPr>
        <w:t>根据</w:t>
      </w:r>
      <w:r>
        <w:rPr>
          <w:rFonts w:hint="eastAsia" w:ascii="仿宋_GB2312" w:hAnsi="仿宋" w:eastAsia="仿宋_GB2312"/>
          <w:sz w:val="32"/>
          <w:szCs w:val="32"/>
        </w:rPr>
        <w:t>现场勘查、调查取证、检测鉴定结果</w:t>
      </w:r>
      <w:r>
        <w:rPr>
          <w:rFonts w:hint="eastAsia" w:ascii="仿宋_GB2312" w:eastAsia="仿宋_GB2312" w:cs="仿宋_GB2312"/>
          <w:sz w:val="32"/>
          <w:szCs w:val="32"/>
        </w:rPr>
        <w:t>，经综合分析</w:t>
      </w:r>
      <w:r>
        <w:rPr>
          <w:rFonts w:hint="eastAsia" w:ascii="仿宋_GB2312" w:cs="仿宋_GB2312"/>
          <w:sz w:val="32"/>
          <w:szCs w:val="32"/>
          <w:lang w:eastAsia="zh-CN"/>
        </w:rPr>
        <w:t>，</w:t>
      </w:r>
      <w:r>
        <w:rPr>
          <w:rFonts w:hint="eastAsia" w:ascii="仿宋_GB2312" w:eastAsia="仿宋_GB2312" w:cs="仿宋_GB2312"/>
          <w:sz w:val="32"/>
          <w:szCs w:val="32"/>
        </w:rPr>
        <w:t>事故调查组认定事故直接原因：</w:t>
      </w:r>
      <w:r>
        <w:rPr>
          <w:rFonts w:hint="eastAsia" w:ascii="仿宋_GB2312" w:eastAsia="仿宋_GB2312" w:cs="仿宋_GB2312"/>
          <w:sz w:val="32"/>
          <w:szCs w:val="32"/>
          <w:lang w:val="en-US" w:eastAsia="zh-CN"/>
        </w:rPr>
        <w:t>水箱空间相对密闭，</w:t>
      </w:r>
      <w:r>
        <w:rPr>
          <w:rFonts w:hint="eastAsia" w:ascii="仿宋_GB2312" w:cs="仿宋_GB2312"/>
          <w:sz w:val="32"/>
          <w:szCs w:val="32"/>
          <w:lang w:val="en-US" w:eastAsia="zh-CN"/>
        </w:rPr>
        <w:t>进入水箱的</w:t>
      </w:r>
      <w:r>
        <w:rPr>
          <w:rFonts w:hint="eastAsia" w:ascii="仿宋_GB2312" w:eastAsia="仿宋_GB2312" w:cs="仿宋_GB2312"/>
          <w:sz w:val="32"/>
          <w:szCs w:val="32"/>
          <w:lang w:val="en-US" w:eastAsia="zh-CN"/>
        </w:rPr>
        <w:t>锌尘</w:t>
      </w:r>
      <w:r>
        <w:rPr>
          <w:rFonts w:hint="eastAsia" w:ascii="仿宋_GB2312" w:cs="仿宋_GB2312"/>
          <w:sz w:val="32"/>
          <w:szCs w:val="32"/>
          <w:lang w:val="en-US" w:eastAsia="zh-CN"/>
        </w:rPr>
        <w:t>中的单质锌长期</w:t>
      </w:r>
      <w:r>
        <w:rPr>
          <w:rFonts w:hint="eastAsia" w:ascii="仿宋_GB2312" w:eastAsia="仿宋_GB2312" w:cs="仿宋_GB2312"/>
          <w:sz w:val="32"/>
          <w:szCs w:val="32"/>
          <w:lang w:val="en-US" w:eastAsia="zh-CN"/>
        </w:rPr>
        <w:t>与水接触</w:t>
      </w:r>
      <w:r>
        <w:rPr>
          <w:rFonts w:hint="eastAsia" w:ascii="仿宋_GB2312" w:cs="仿宋_GB2312"/>
          <w:sz w:val="32"/>
          <w:szCs w:val="32"/>
          <w:lang w:val="en-US" w:eastAsia="zh-CN"/>
        </w:rPr>
        <w:t>，并持续发生化学反应</w:t>
      </w:r>
      <w:r>
        <w:rPr>
          <w:rFonts w:hint="eastAsia" w:ascii="仿宋_GB2312" w:eastAsia="仿宋_GB2312" w:cs="仿宋_GB2312"/>
          <w:sz w:val="32"/>
          <w:szCs w:val="32"/>
          <w:lang w:val="en-US" w:eastAsia="zh-CN"/>
        </w:rPr>
        <w:t>产生氢气</w:t>
      </w:r>
      <w:r>
        <w:rPr>
          <w:rFonts w:hint="eastAsia" w:ascii="仿宋_GB2312" w:cs="仿宋_GB2312"/>
          <w:sz w:val="32"/>
          <w:szCs w:val="32"/>
          <w:lang w:val="en-US" w:eastAsia="zh-CN"/>
        </w:rPr>
        <w:t>，</w:t>
      </w:r>
      <w:r>
        <w:rPr>
          <w:rFonts w:hint="eastAsia" w:ascii="仿宋_GB2312" w:eastAsia="仿宋_GB2312" w:cs="仿宋_GB2312"/>
          <w:sz w:val="32"/>
          <w:szCs w:val="32"/>
          <w:lang w:val="en-US" w:eastAsia="zh-CN"/>
        </w:rPr>
        <w:t>积聚</w:t>
      </w:r>
      <w:r>
        <w:rPr>
          <w:rFonts w:hint="eastAsia" w:ascii="仿宋_GB2312" w:cs="仿宋_GB2312"/>
          <w:sz w:val="32"/>
          <w:szCs w:val="32"/>
          <w:lang w:val="en-US" w:eastAsia="zh-CN"/>
        </w:rPr>
        <w:t>在水箱内</w:t>
      </w:r>
      <w:r>
        <w:rPr>
          <w:rFonts w:hint="eastAsia" w:ascii="仿宋_GB2312" w:eastAsia="仿宋_GB2312" w:cs="仿宋_GB2312"/>
          <w:sz w:val="32"/>
          <w:szCs w:val="32"/>
          <w:lang w:val="en-US" w:eastAsia="zh-CN"/>
        </w:rPr>
        <w:t>。当</w:t>
      </w:r>
      <w:r>
        <w:rPr>
          <w:rFonts w:hint="eastAsia" w:ascii="仿宋_GB2312" w:cs="仿宋_GB2312"/>
          <w:sz w:val="32"/>
          <w:szCs w:val="32"/>
          <w:lang w:val="en-US" w:eastAsia="zh-CN"/>
        </w:rPr>
        <w:t>何某章</w:t>
      </w:r>
      <w:r>
        <w:rPr>
          <w:rFonts w:hint="eastAsia" w:ascii="仿宋_GB2312" w:eastAsia="仿宋_GB2312" w:cs="仿宋_GB2312"/>
          <w:sz w:val="32"/>
          <w:szCs w:val="32"/>
          <w:lang w:val="en-US" w:eastAsia="zh-CN"/>
        </w:rPr>
        <w:t>踩踏水箱</w:t>
      </w:r>
      <w:r>
        <w:rPr>
          <w:rFonts w:hint="eastAsia" w:ascii="仿宋_GB2312" w:cs="仿宋_GB2312"/>
          <w:sz w:val="32"/>
          <w:szCs w:val="32"/>
          <w:lang w:val="en-US" w:eastAsia="zh-CN"/>
        </w:rPr>
        <w:t>顶</w:t>
      </w:r>
      <w:r>
        <w:rPr>
          <w:rFonts w:hint="eastAsia" w:ascii="仿宋_GB2312" w:eastAsia="仿宋_GB2312" w:cs="仿宋_GB2312"/>
          <w:sz w:val="32"/>
          <w:szCs w:val="32"/>
          <w:lang w:val="en-US" w:eastAsia="zh-CN"/>
        </w:rPr>
        <w:t>部</w:t>
      </w:r>
      <w:r>
        <w:rPr>
          <w:rFonts w:hint="eastAsia" w:ascii="仿宋_GB2312" w:cs="仿宋_GB2312"/>
          <w:sz w:val="32"/>
          <w:szCs w:val="32"/>
          <w:lang w:val="en-US" w:eastAsia="zh-CN"/>
        </w:rPr>
        <w:t>过程中</w:t>
      </w:r>
      <w:r>
        <w:rPr>
          <w:rFonts w:hint="eastAsia" w:ascii="仿宋_GB2312" w:eastAsia="仿宋_GB2312" w:cs="仿宋_GB2312"/>
          <w:sz w:val="32"/>
          <w:szCs w:val="32"/>
          <w:lang w:val="en-US" w:eastAsia="zh-CN"/>
        </w:rPr>
        <w:t>，</w:t>
      </w:r>
      <w:r>
        <w:rPr>
          <w:rFonts w:hint="eastAsia" w:ascii="仿宋_GB2312" w:cs="仿宋_GB2312"/>
          <w:sz w:val="32"/>
          <w:szCs w:val="32"/>
          <w:lang w:val="en-US" w:eastAsia="zh-CN"/>
        </w:rPr>
        <w:t>水箱顶部</w:t>
      </w:r>
      <w:r>
        <w:rPr>
          <w:rFonts w:hint="eastAsia" w:ascii="仿宋_GB2312" w:eastAsia="仿宋_GB2312" w:cs="仿宋_GB2312"/>
          <w:sz w:val="32"/>
          <w:szCs w:val="32"/>
          <w:lang w:val="en-US" w:eastAsia="zh-CN"/>
        </w:rPr>
        <w:t>钢板</w:t>
      </w:r>
      <w:r>
        <w:rPr>
          <w:rFonts w:hint="eastAsia" w:ascii="仿宋_GB2312" w:cs="仿宋_GB2312"/>
          <w:sz w:val="32"/>
          <w:szCs w:val="32"/>
          <w:lang w:val="en-US" w:eastAsia="zh-CN"/>
        </w:rPr>
        <w:t>（厚度0.2cm）发生形变</w:t>
      </w:r>
      <w:r>
        <w:rPr>
          <w:rFonts w:hint="eastAsia" w:ascii="仿宋_GB2312" w:eastAsia="仿宋_GB2312" w:cs="仿宋_GB2312"/>
          <w:sz w:val="32"/>
          <w:szCs w:val="32"/>
          <w:lang w:val="en-US" w:eastAsia="zh-CN"/>
        </w:rPr>
        <w:t>与箱体侧面钢板之间摩擦产生火花，</w:t>
      </w:r>
      <w:r>
        <w:rPr>
          <w:rFonts w:hint="eastAsia" w:ascii="仿宋_GB2312" w:cs="仿宋_GB2312"/>
          <w:sz w:val="32"/>
          <w:szCs w:val="32"/>
          <w:lang w:val="en-US" w:eastAsia="zh-CN"/>
        </w:rPr>
        <w:t>导致水</w:t>
      </w:r>
      <w:r>
        <w:rPr>
          <w:rFonts w:hint="eastAsia" w:ascii="仿宋_GB2312" w:eastAsia="仿宋_GB2312" w:cs="仿宋_GB2312"/>
          <w:sz w:val="32"/>
          <w:szCs w:val="32"/>
          <w:lang w:val="en-US" w:eastAsia="zh-CN"/>
        </w:rPr>
        <w:t>箱内氢气发生爆炸</w:t>
      </w:r>
      <w:r>
        <w:rPr>
          <w:rFonts w:hint="eastAsia" w:ascii="Times New Roman" w:hAnsi="Times New Roman" w:eastAsia="仿宋_GB2312"/>
          <w:sz w:val="32"/>
          <w:szCs w:val="32"/>
        </w:rPr>
        <w:t>。</w:t>
      </w:r>
    </w:p>
    <w:p w14:paraId="24E91048">
      <w:pPr>
        <w:pStyle w:val="3"/>
        <w:pageBreakBefore w:val="0"/>
        <w:kinsoku/>
        <w:wordWrap/>
        <w:overflowPunct/>
        <w:topLinePunct w:val="0"/>
        <w:bidi w:val="0"/>
        <w:snapToGrid/>
        <w:spacing w:line="560" w:lineRule="exact"/>
        <w:textAlignment w:val="auto"/>
        <w:rPr>
          <w:rFonts w:ascii="Times New Roman" w:hAnsi="Times New Roman" w:eastAsia="仿宋_GB2312"/>
          <w:szCs w:val="32"/>
        </w:rPr>
      </w:pPr>
      <w:bookmarkStart w:id="53" w:name="_Toc3489"/>
      <w:bookmarkStart w:id="54" w:name="_Toc20028"/>
      <w:r>
        <w:rPr>
          <w:rFonts w:hint="eastAsia"/>
        </w:rPr>
        <w:t>（二）事故</w:t>
      </w:r>
      <w:r>
        <w:t>间接原因</w:t>
      </w:r>
      <w:bookmarkEnd w:id="53"/>
      <w:bookmarkEnd w:id="54"/>
    </w:p>
    <w:p w14:paraId="3A73CDDC">
      <w:pPr>
        <w:pStyle w:val="5"/>
        <w:keepNext w:val="0"/>
        <w:keepLines w:val="0"/>
        <w:pageBreakBefore w:val="0"/>
        <w:kinsoku/>
        <w:wordWrap/>
        <w:overflowPunct/>
        <w:topLinePunct w:val="0"/>
        <w:autoSpaceDE/>
        <w:autoSpaceDN/>
        <w:bidi w:val="0"/>
        <w:adjustRightInd/>
        <w:snapToGrid/>
        <w:spacing w:line="560" w:lineRule="exact"/>
        <w:ind w:firstLine="640"/>
        <w:textAlignment w:val="auto"/>
        <w:rPr>
          <w:rFonts w:ascii="Times New Roman" w:hAnsi="Times New Roman" w:eastAsia="仿宋_GB2312"/>
          <w:sz w:val="32"/>
          <w:szCs w:val="32"/>
        </w:rPr>
      </w:pPr>
      <w:r>
        <w:rPr>
          <w:rFonts w:hint="eastAsia" w:ascii="Times New Roman" w:hAnsi="Times New Roman"/>
          <w:sz w:val="32"/>
          <w:szCs w:val="32"/>
          <w:lang w:val="en-US" w:eastAsia="zh-CN"/>
        </w:rPr>
        <w:t>1.振兴公司</w:t>
      </w:r>
      <w:r>
        <w:rPr>
          <w:rFonts w:hint="eastAsia" w:ascii="Times New Roman" w:hAnsi="Times New Roman" w:eastAsia="仿宋_GB2312"/>
          <w:sz w:val="32"/>
          <w:szCs w:val="32"/>
        </w:rPr>
        <w:t>违反了《</w:t>
      </w:r>
      <w:r>
        <w:rPr>
          <w:rFonts w:hint="eastAsia" w:ascii="Times New Roman" w:hAnsi="Times New Roman"/>
          <w:sz w:val="32"/>
          <w:szCs w:val="32"/>
          <w:lang w:eastAsia="zh-CN"/>
        </w:rPr>
        <w:t>生产设备安全卫生设计总则</w:t>
      </w:r>
      <w:r>
        <w:rPr>
          <w:rFonts w:hint="eastAsia" w:ascii="Times New Roman" w:hAnsi="Times New Roman" w:eastAsia="仿宋_GB2312"/>
          <w:sz w:val="32"/>
          <w:szCs w:val="32"/>
        </w:rPr>
        <w:t>》</w:t>
      </w:r>
      <w:r>
        <w:rPr>
          <w:rFonts w:hint="eastAsia" w:ascii="Times New Roman" w:hAnsi="Times New Roman"/>
          <w:sz w:val="32"/>
          <w:szCs w:val="32"/>
          <w:lang w:eastAsia="zh-CN"/>
        </w:rPr>
        <w:t>（</w:t>
      </w:r>
      <w:r>
        <w:rPr>
          <w:rFonts w:hint="eastAsia" w:ascii="Times New Roman" w:hAnsi="Times New Roman"/>
          <w:sz w:val="32"/>
          <w:szCs w:val="32"/>
          <w:lang w:val="en-US" w:eastAsia="zh-CN"/>
        </w:rPr>
        <w:t>GB5083-1999</w:t>
      </w:r>
      <w:r>
        <w:rPr>
          <w:rFonts w:hint="eastAsia" w:ascii="Times New Roman" w:hAnsi="Times New Roman"/>
          <w:sz w:val="32"/>
          <w:szCs w:val="32"/>
          <w:lang w:eastAsia="zh-CN"/>
        </w:rPr>
        <w:t>）</w:t>
      </w:r>
      <w:r>
        <w:rPr>
          <w:rFonts w:hint="eastAsia" w:ascii="Times New Roman" w:hAnsi="Times New Roman"/>
          <w:sz w:val="32"/>
          <w:szCs w:val="32"/>
          <w:lang w:val="en-US" w:eastAsia="zh-CN"/>
        </w:rPr>
        <w:t xml:space="preserve">4.4 b) </w:t>
      </w:r>
      <w:r>
        <w:rPr>
          <w:rFonts w:hint="eastAsia" w:ascii="Times New Roman" w:hAnsi="Times New Roman" w:eastAsia="仿宋_GB2312"/>
          <w:sz w:val="32"/>
          <w:szCs w:val="32"/>
          <w:vertAlign w:val="superscript"/>
        </w:rPr>
        <w:t>[</w:t>
      </w:r>
      <w:r>
        <w:rPr>
          <w:rStyle w:val="18"/>
          <w:rFonts w:hint="eastAsia" w:ascii="Times New Roman" w:hAnsi="Times New Roman" w:eastAsia="仿宋_GB2312"/>
          <w:sz w:val="32"/>
          <w:szCs w:val="32"/>
        </w:rPr>
        <w:footnoteReference w:id="0"/>
      </w:r>
      <w:r>
        <w:rPr>
          <w:rFonts w:hint="eastAsia" w:ascii="Times New Roman" w:hAnsi="Times New Roman" w:eastAsia="仿宋_GB2312"/>
          <w:sz w:val="32"/>
          <w:szCs w:val="32"/>
          <w:vertAlign w:val="superscript"/>
        </w:rPr>
        <w:t>]</w:t>
      </w:r>
      <w:r>
        <w:rPr>
          <w:rFonts w:hint="eastAsia" w:ascii="Times New Roman" w:hAnsi="Times New Roman"/>
          <w:sz w:val="32"/>
          <w:szCs w:val="32"/>
          <w:lang w:val="en-US" w:eastAsia="zh-CN"/>
        </w:rPr>
        <w:t>的规定，自行加装的水箱未经过安全设计，未采取任何防止水箱内</w:t>
      </w:r>
      <w:r>
        <w:rPr>
          <w:rFonts w:ascii="仿宋_GB2312" w:eastAsia="仿宋_GB2312" w:cs="仿宋_GB2312"/>
          <w:sz w:val="32"/>
          <w:szCs w:val="32"/>
        </w:rPr>
        <w:t>易燃易爆气体（</w:t>
      </w:r>
      <w:r>
        <w:rPr>
          <w:rFonts w:hint="eastAsia" w:ascii="仿宋_GB2312" w:eastAsia="仿宋_GB2312" w:cs="仿宋_GB2312"/>
          <w:sz w:val="32"/>
          <w:szCs w:val="32"/>
        </w:rPr>
        <w:t>氢气</w:t>
      </w:r>
      <w:r>
        <w:rPr>
          <w:rFonts w:ascii="仿宋_GB2312" w:eastAsia="仿宋_GB2312" w:cs="仿宋_GB2312"/>
          <w:sz w:val="32"/>
          <w:szCs w:val="32"/>
        </w:rPr>
        <w:t>）</w:t>
      </w:r>
      <w:r>
        <w:rPr>
          <w:rFonts w:hint="eastAsia" w:ascii="Times New Roman" w:hAnsi="Times New Roman"/>
          <w:sz w:val="32"/>
          <w:szCs w:val="32"/>
          <w:lang w:val="en-US" w:eastAsia="zh-CN"/>
        </w:rPr>
        <w:t>积聚、爆炸的安全防护措施</w:t>
      </w:r>
      <w:r>
        <w:rPr>
          <w:rFonts w:hint="eastAsia" w:ascii="Times New Roman" w:hAnsi="Times New Roman" w:eastAsia="仿宋_GB2312"/>
          <w:sz w:val="32"/>
          <w:szCs w:val="32"/>
        </w:rPr>
        <w:t>。</w:t>
      </w:r>
    </w:p>
    <w:p w14:paraId="5173E42F">
      <w:pPr>
        <w:pStyle w:val="5"/>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eastAsia" w:ascii="Times New Roman" w:hAnsi="Times New Roman" w:eastAsia="仿宋_GB2312"/>
          <w:sz w:val="32"/>
          <w:szCs w:val="32"/>
          <w:lang w:eastAsia="zh-CN"/>
        </w:rPr>
      </w:pPr>
      <w:r>
        <w:rPr>
          <w:rFonts w:hint="eastAsia" w:ascii="Times New Roman" w:hAnsi="Times New Roman"/>
          <w:sz w:val="32"/>
          <w:szCs w:val="32"/>
          <w:lang w:val="en-US" w:eastAsia="zh-CN"/>
        </w:rPr>
        <w:t>2.振兴公司违反了《</w:t>
      </w:r>
      <w:r>
        <w:rPr>
          <w:rFonts w:hint="eastAsia" w:ascii="Times New Roman" w:hAnsi="Times New Roman" w:eastAsia="仿宋_GB2312"/>
          <w:sz w:val="32"/>
          <w:szCs w:val="32"/>
          <w:lang w:eastAsia="zh-CN"/>
        </w:rPr>
        <w:t>中华人民共和国安全生产法</w:t>
      </w:r>
      <w:r>
        <w:rPr>
          <w:rFonts w:hint="eastAsia" w:ascii="Times New Roman" w:hAnsi="Times New Roman"/>
          <w:sz w:val="32"/>
          <w:szCs w:val="32"/>
          <w:lang w:val="en-US" w:eastAsia="zh-CN"/>
        </w:rPr>
        <w:t>》第四十一条</w:t>
      </w:r>
      <w:r>
        <w:rPr>
          <w:rFonts w:hint="eastAsia" w:ascii="Times New Roman" w:hAnsi="Times New Roman" w:eastAsia="仿宋_GB2312"/>
          <w:sz w:val="32"/>
          <w:szCs w:val="32"/>
          <w:vertAlign w:val="superscript"/>
        </w:rPr>
        <w:t>[</w:t>
      </w:r>
      <w:r>
        <w:rPr>
          <w:rStyle w:val="18"/>
          <w:rFonts w:hint="eastAsia" w:ascii="Times New Roman" w:hAnsi="Times New Roman" w:eastAsia="仿宋_GB2312"/>
          <w:sz w:val="32"/>
          <w:szCs w:val="32"/>
        </w:rPr>
        <w:footnoteReference w:id="1"/>
      </w:r>
      <w:r>
        <w:rPr>
          <w:rFonts w:hint="eastAsia" w:ascii="Times New Roman" w:hAnsi="Times New Roman" w:eastAsia="仿宋_GB2312"/>
          <w:sz w:val="32"/>
          <w:szCs w:val="32"/>
          <w:vertAlign w:val="superscript"/>
        </w:rPr>
        <w:t>]</w:t>
      </w:r>
      <w:r>
        <w:rPr>
          <w:rFonts w:hint="eastAsia" w:ascii="Times New Roman" w:hAnsi="Times New Roman" w:eastAsia="仿宋_GB2312"/>
          <w:sz w:val="32"/>
          <w:szCs w:val="32"/>
        </w:rPr>
        <w:t>的规定，</w:t>
      </w:r>
      <w:r>
        <w:rPr>
          <w:rFonts w:hint="eastAsia" w:ascii="Times New Roman" w:hAnsi="Times New Roman"/>
          <w:sz w:val="32"/>
          <w:szCs w:val="32"/>
          <w:lang w:eastAsia="zh-CN"/>
        </w:rPr>
        <w:t>开展安全风险辨识不全面，</w:t>
      </w:r>
      <w:r>
        <w:rPr>
          <w:rFonts w:hint="eastAsia" w:ascii="仿宋_GB2312" w:eastAsia="仿宋_GB2312" w:cs="仿宋_GB2312"/>
          <w:sz w:val="32"/>
          <w:szCs w:val="32"/>
        </w:rPr>
        <w:t>未</w:t>
      </w:r>
      <w:r>
        <w:rPr>
          <w:rFonts w:ascii="仿宋_GB2312" w:eastAsia="仿宋_GB2312" w:cs="仿宋_GB2312"/>
          <w:sz w:val="32"/>
          <w:szCs w:val="32"/>
        </w:rPr>
        <w:t>辨识</w:t>
      </w:r>
      <w:r>
        <w:rPr>
          <w:rFonts w:hint="eastAsia" w:ascii="仿宋_GB2312" w:eastAsia="仿宋_GB2312" w:cs="仿宋_GB2312"/>
          <w:sz w:val="32"/>
          <w:szCs w:val="32"/>
        </w:rPr>
        <w:t>出</w:t>
      </w:r>
      <w:r>
        <w:rPr>
          <w:rFonts w:hint="eastAsia" w:ascii="仿宋_GB2312" w:cs="仿宋_GB2312"/>
          <w:sz w:val="32"/>
          <w:szCs w:val="32"/>
          <w:lang w:eastAsia="zh-CN"/>
        </w:rPr>
        <w:t>锌尘进入水箱</w:t>
      </w:r>
      <w:r>
        <w:rPr>
          <w:rFonts w:ascii="仿宋_GB2312" w:eastAsia="仿宋_GB2312" w:cs="仿宋_GB2312"/>
          <w:sz w:val="32"/>
          <w:szCs w:val="32"/>
        </w:rPr>
        <w:t>会与</w:t>
      </w:r>
      <w:r>
        <w:rPr>
          <w:rFonts w:hint="eastAsia" w:ascii="仿宋_GB2312" w:cs="仿宋_GB2312"/>
          <w:sz w:val="32"/>
          <w:szCs w:val="32"/>
          <w:lang w:eastAsia="zh-CN"/>
        </w:rPr>
        <w:t>水</w:t>
      </w:r>
      <w:r>
        <w:rPr>
          <w:rFonts w:hint="eastAsia" w:ascii="仿宋_GB2312" w:eastAsia="仿宋_GB2312" w:cs="仿宋_GB2312"/>
          <w:sz w:val="32"/>
          <w:szCs w:val="32"/>
        </w:rPr>
        <w:t>发生化学反应产生</w:t>
      </w:r>
      <w:r>
        <w:rPr>
          <w:rFonts w:ascii="仿宋_GB2312" w:eastAsia="仿宋_GB2312" w:cs="仿宋_GB2312"/>
          <w:sz w:val="32"/>
          <w:szCs w:val="32"/>
        </w:rPr>
        <w:t>易燃易爆气体（</w:t>
      </w:r>
      <w:r>
        <w:rPr>
          <w:rFonts w:hint="eastAsia" w:ascii="仿宋_GB2312" w:eastAsia="仿宋_GB2312" w:cs="仿宋_GB2312"/>
          <w:sz w:val="32"/>
          <w:szCs w:val="32"/>
        </w:rPr>
        <w:t>氢气</w:t>
      </w:r>
      <w:r>
        <w:rPr>
          <w:rFonts w:ascii="仿宋_GB2312" w:eastAsia="仿宋_GB2312" w:cs="仿宋_GB2312"/>
          <w:sz w:val="32"/>
          <w:szCs w:val="32"/>
        </w:rPr>
        <w:t>）</w:t>
      </w:r>
      <w:r>
        <w:rPr>
          <w:rFonts w:hint="eastAsia" w:ascii="仿宋_GB2312" w:eastAsia="仿宋_GB2312" w:cs="仿宋_GB2312"/>
          <w:sz w:val="32"/>
          <w:szCs w:val="32"/>
        </w:rPr>
        <w:t>聚集</w:t>
      </w:r>
      <w:r>
        <w:rPr>
          <w:rFonts w:ascii="仿宋_GB2312" w:eastAsia="仿宋_GB2312" w:cs="仿宋_GB2312"/>
          <w:sz w:val="32"/>
          <w:szCs w:val="32"/>
        </w:rPr>
        <w:t>在</w:t>
      </w:r>
      <w:r>
        <w:rPr>
          <w:rFonts w:hint="eastAsia" w:ascii="仿宋_GB2312" w:cs="仿宋_GB2312"/>
          <w:sz w:val="32"/>
          <w:szCs w:val="32"/>
          <w:lang w:eastAsia="zh-CN"/>
        </w:rPr>
        <w:t>水箱</w:t>
      </w:r>
      <w:r>
        <w:rPr>
          <w:rFonts w:ascii="仿宋_GB2312" w:eastAsia="仿宋_GB2312" w:cs="仿宋_GB2312"/>
          <w:sz w:val="32"/>
          <w:szCs w:val="32"/>
        </w:rPr>
        <w:t>内</w:t>
      </w:r>
      <w:r>
        <w:rPr>
          <w:rFonts w:hint="eastAsia" w:ascii="仿宋_GB2312" w:eastAsia="仿宋_GB2312" w:cs="仿宋_GB2312"/>
          <w:sz w:val="32"/>
          <w:szCs w:val="32"/>
        </w:rPr>
        <w:t>，存在</w:t>
      </w:r>
      <w:r>
        <w:rPr>
          <w:rFonts w:ascii="仿宋_GB2312" w:eastAsia="仿宋_GB2312" w:cs="仿宋_GB2312"/>
          <w:sz w:val="32"/>
          <w:szCs w:val="32"/>
        </w:rPr>
        <w:t>爆炸的</w:t>
      </w:r>
      <w:r>
        <w:rPr>
          <w:rFonts w:hint="eastAsia" w:ascii="仿宋_GB2312" w:eastAsia="仿宋_GB2312" w:cs="仿宋_GB2312"/>
          <w:sz w:val="32"/>
          <w:szCs w:val="32"/>
        </w:rPr>
        <w:t>潜在危险</w:t>
      </w:r>
      <w:r>
        <w:rPr>
          <w:rFonts w:ascii="仿宋_GB2312" w:eastAsia="仿宋_GB2312" w:cs="仿宋_GB2312"/>
          <w:sz w:val="32"/>
          <w:szCs w:val="32"/>
        </w:rPr>
        <w:t>因素</w:t>
      </w:r>
      <w:r>
        <w:rPr>
          <w:rFonts w:hint="eastAsia" w:ascii="仿宋_GB2312" w:cs="仿宋_GB2312"/>
          <w:sz w:val="32"/>
          <w:szCs w:val="32"/>
          <w:lang w:eastAsia="zh-CN"/>
        </w:rPr>
        <w:t>。</w:t>
      </w:r>
    </w:p>
    <w:p w14:paraId="4F48721E">
      <w:pPr>
        <w:pStyle w:val="5"/>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eastAsia" w:ascii="Times New Roman" w:hAnsi="Times New Roman"/>
          <w:sz w:val="32"/>
          <w:szCs w:val="32"/>
          <w:lang w:eastAsia="zh-CN"/>
        </w:rPr>
      </w:pPr>
      <w:r>
        <w:rPr>
          <w:rFonts w:hint="eastAsia" w:ascii="Times New Roman" w:hAnsi="Times New Roman"/>
          <w:sz w:val="32"/>
          <w:szCs w:val="32"/>
          <w:lang w:val="en-US" w:eastAsia="zh-CN"/>
        </w:rPr>
        <w:t>3.振兴公司违反了《天津市生产经营单位安全生产主体责任规定》第十三条第</w:t>
      </w:r>
      <w:r>
        <w:rPr>
          <w:rFonts w:hint="eastAsia" w:ascii="Times New Roman" w:hAnsi="Times New Roman"/>
          <w:color w:val="auto"/>
          <w:sz w:val="32"/>
          <w:szCs w:val="32"/>
          <w:lang w:val="en-US" w:eastAsia="zh-CN"/>
        </w:rPr>
        <w:t>二款</w:t>
      </w:r>
      <w:r>
        <w:rPr>
          <w:rStyle w:val="18"/>
          <w:rFonts w:hint="eastAsia" w:ascii="Times New Roman" w:hAnsi="Times New Roman"/>
          <w:color w:val="auto"/>
          <w:sz w:val="32"/>
          <w:szCs w:val="32"/>
          <w:lang w:val="en-US" w:eastAsia="zh-CN"/>
        </w:rPr>
        <w:t>[</w:t>
      </w:r>
      <w:r>
        <w:rPr>
          <w:rStyle w:val="18"/>
          <w:rFonts w:hint="eastAsia" w:ascii="Times New Roman" w:hAnsi="Times New Roman"/>
          <w:color w:val="auto"/>
          <w:sz w:val="32"/>
          <w:szCs w:val="32"/>
          <w:lang w:val="en-US" w:eastAsia="zh-CN"/>
        </w:rPr>
        <w:footnoteReference w:id="2"/>
      </w:r>
      <w:r>
        <w:rPr>
          <w:rStyle w:val="18"/>
          <w:rFonts w:hint="eastAsia" w:ascii="Times New Roman" w:hAnsi="Times New Roman"/>
          <w:color w:val="auto"/>
          <w:sz w:val="32"/>
          <w:szCs w:val="32"/>
          <w:lang w:val="en-US" w:eastAsia="zh-CN"/>
        </w:rPr>
        <w:t>]</w:t>
      </w:r>
      <w:r>
        <w:rPr>
          <w:rFonts w:hint="eastAsia" w:ascii="Times New Roman" w:hAnsi="Times New Roman"/>
          <w:color w:val="auto"/>
          <w:sz w:val="32"/>
          <w:szCs w:val="32"/>
          <w:lang w:val="en-US" w:eastAsia="zh-CN"/>
        </w:rPr>
        <w:t>的规定，所制定的除尘室安全生产操作规程不健全，未明确清灰作业环境要求、作业防护要求、禁止事项等内容</w:t>
      </w:r>
      <w:r>
        <w:rPr>
          <w:rFonts w:hint="eastAsia" w:ascii="Times New Roman" w:hAnsi="Times New Roman"/>
          <w:color w:val="auto"/>
          <w:sz w:val="32"/>
          <w:szCs w:val="32"/>
          <w:lang w:eastAsia="zh-CN"/>
        </w:rPr>
        <w:t>。</w:t>
      </w:r>
    </w:p>
    <w:p w14:paraId="637B984A">
      <w:pPr>
        <w:pStyle w:val="3"/>
        <w:pageBreakBefore w:val="0"/>
        <w:kinsoku/>
        <w:wordWrap/>
        <w:overflowPunct/>
        <w:topLinePunct w:val="0"/>
        <w:autoSpaceDE/>
        <w:autoSpaceDN/>
        <w:bidi w:val="0"/>
        <w:adjustRightInd/>
        <w:snapToGrid/>
        <w:spacing w:line="560" w:lineRule="exact"/>
        <w:textAlignment w:val="auto"/>
      </w:pPr>
      <w:bookmarkStart w:id="55" w:name="_Toc25038"/>
      <w:bookmarkStart w:id="56" w:name="_Toc20067"/>
      <w:r>
        <w:rPr>
          <w:rFonts w:hint="eastAsia"/>
        </w:rPr>
        <w:t>（三）事故性质</w:t>
      </w:r>
      <w:bookmarkEnd w:id="55"/>
      <w:bookmarkEnd w:id="56"/>
    </w:p>
    <w:p w14:paraId="0D6C9222">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eastAsia" w:ascii="Times New Roman" w:hAnsi="Times New Roman"/>
          <w:sz w:val="32"/>
          <w:szCs w:val="32"/>
          <w:lang w:val="en-US" w:eastAsia="zh-CN"/>
        </w:rPr>
      </w:pPr>
      <w:r>
        <w:rPr>
          <w:rFonts w:hint="eastAsia" w:ascii="Times New Roman" w:hAnsi="Times New Roman"/>
          <w:sz w:val="32"/>
          <w:szCs w:val="32"/>
          <w:lang w:val="en-US" w:eastAsia="zh-CN"/>
        </w:rPr>
        <w:t>事故调查组认定，静海大邱庄振兴镀锌管有限公司“3·12”一般爆炸事故是一起生产安全责任事故。该起事故发生于3月12日8时25分，振兴公司于3月12日12时40分上报了事故情况，未在规定时限内上报事故，属迟报事故。</w:t>
      </w:r>
    </w:p>
    <w:p w14:paraId="6F187688">
      <w:pPr>
        <w:pStyle w:val="2"/>
        <w:pageBreakBefore w:val="0"/>
        <w:kinsoku/>
        <w:wordWrap/>
        <w:overflowPunct/>
        <w:topLinePunct w:val="0"/>
        <w:autoSpaceDE/>
        <w:autoSpaceDN/>
        <w:bidi w:val="0"/>
        <w:adjustRightInd/>
        <w:snapToGrid/>
        <w:spacing w:line="560" w:lineRule="exact"/>
        <w:textAlignment w:val="auto"/>
        <w:rPr>
          <w:rFonts w:hint="eastAsia"/>
        </w:rPr>
      </w:pPr>
      <w:bookmarkStart w:id="57" w:name="_Toc30511"/>
      <w:bookmarkStart w:id="58" w:name="_Toc8628"/>
      <w:r>
        <w:rPr>
          <w:rFonts w:hint="eastAsia"/>
        </w:rPr>
        <w:t>五、对有关责任</w:t>
      </w:r>
      <w:r>
        <w:t>人员</w:t>
      </w:r>
      <w:r>
        <w:rPr>
          <w:rFonts w:hint="eastAsia"/>
          <w:lang w:eastAsia="zh-CN"/>
        </w:rPr>
        <w:t>和责任单位</w:t>
      </w:r>
      <w:r>
        <w:rPr>
          <w:rFonts w:hint="eastAsia"/>
        </w:rPr>
        <w:t>的处理建议</w:t>
      </w:r>
      <w:bookmarkEnd w:id="57"/>
      <w:bookmarkEnd w:id="58"/>
      <w:bookmarkStart w:id="59" w:name="_Toc12833"/>
    </w:p>
    <w:p w14:paraId="5388993E">
      <w:pPr>
        <w:pStyle w:val="3"/>
        <w:pageBreakBefore w:val="0"/>
        <w:kinsoku/>
        <w:wordWrap/>
        <w:overflowPunct/>
        <w:topLinePunct w:val="0"/>
        <w:autoSpaceDE/>
        <w:autoSpaceDN/>
        <w:bidi w:val="0"/>
        <w:adjustRightInd/>
        <w:snapToGrid/>
        <w:spacing w:line="560" w:lineRule="exact"/>
        <w:textAlignment w:val="auto"/>
        <w:rPr>
          <w:rFonts w:hint="eastAsia" w:cs="Times New Roman"/>
          <w:lang w:eastAsia="zh-CN"/>
        </w:rPr>
      </w:pPr>
      <w:bookmarkStart w:id="60" w:name="_Toc29951"/>
      <w:r>
        <w:rPr>
          <w:rFonts w:hint="eastAsia" w:cs="Times New Roman"/>
        </w:rPr>
        <w:t>（一）</w:t>
      </w:r>
      <w:r>
        <w:rPr>
          <w:rFonts w:hint="eastAsia" w:cs="Times New Roman"/>
          <w:lang w:eastAsia="zh-CN"/>
        </w:rPr>
        <w:t>对有关公职人员</w:t>
      </w:r>
      <w:bookmarkEnd w:id="59"/>
      <w:r>
        <w:rPr>
          <w:rFonts w:hint="eastAsia" w:cs="Times New Roman"/>
          <w:lang w:eastAsia="zh-CN"/>
        </w:rPr>
        <w:t>的处理建议</w:t>
      </w:r>
      <w:bookmarkEnd w:id="60"/>
    </w:p>
    <w:p w14:paraId="50186458">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sz w:val="32"/>
          <w:szCs w:val="32"/>
          <w:lang w:val="en-US" w:eastAsia="zh-CN"/>
        </w:rPr>
      </w:pPr>
      <w:r>
        <w:rPr>
          <w:rFonts w:hint="eastAsia" w:ascii="Times New Roman" w:hAnsi="Times New Roman"/>
          <w:sz w:val="32"/>
          <w:szCs w:val="32"/>
          <w:lang w:val="en-US" w:eastAsia="zh-CN"/>
        </w:rPr>
        <w:t>杨某，男，群众，大邱庄镇环保办巡查人员，检查、督促企业落实安全生产主体责任不力，未能及时发现并消除振兴公司的事故隐患，对事故发生负有管理责任，建议大邱庄镇党委给予政务警告处理。</w:t>
      </w:r>
    </w:p>
    <w:p w14:paraId="027B3392">
      <w:pPr>
        <w:pStyle w:val="3"/>
        <w:pageBreakBefore w:val="0"/>
        <w:kinsoku/>
        <w:wordWrap/>
        <w:overflowPunct/>
        <w:topLinePunct w:val="0"/>
        <w:autoSpaceDE/>
        <w:autoSpaceDN/>
        <w:bidi w:val="0"/>
        <w:adjustRightInd/>
        <w:snapToGrid/>
        <w:spacing w:line="560" w:lineRule="exact"/>
        <w:textAlignment w:val="auto"/>
        <w:rPr>
          <w:rFonts w:hint="eastAsia" w:cs="Times New Roman"/>
        </w:rPr>
      </w:pPr>
      <w:bookmarkStart w:id="61" w:name="_Toc9891"/>
      <w:r>
        <w:rPr>
          <w:rFonts w:hint="eastAsia" w:cs="Times New Roman"/>
        </w:rPr>
        <w:t>（</w:t>
      </w:r>
      <w:r>
        <w:rPr>
          <w:rFonts w:hint="eastAsia" w:cs="Times New Roman"/>
          <w:lang w:eastAsia="zh-CN"/>
        </w:rPr>
        <w:t>二</w:t>
      </w:r>
      <w:r>
        <w:rPr>
          <w:rFonts w:hint="eastAsia" w:cs="Times New Roman"/>
        </w:rPr>
        <w:t>）</w:t>
      </w:r>
      <w:r>
        <w:rPr>
          <w:rFonts w:hint="eastAsia" w:cs="Times New Roman"/>
          <w:lang w:eastAsia="zh-CN"/>
        </w:rPr>
        <w:t>对事故单位和责任人员的行政处罚建议</w:t>
      </w:r>
      <w:bookmarkEnd w:id="61"/>
    </w:p>
    <w:p w14:paraId="4B23CB70">
      <w:pPr>
        <w:pStyle w:val="5"/>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eastAsia="仿宋_GB2312" w:cs="Times New Roman"/>
          <w:kern w:val="2"/>
          <w:szCs w:val="32"/>
          <w:lang w:val="en-US" w:eastAsia="zh-CN" w:bidi="ar-SA"/>
        </w:rPr>
      </w:pPr>
      <w:r>
        <w:rPr>
          <w:rFonts w:hint="eastAsia" w:ascii="Times New Roman" w:hAnsi="Times New Roman" w:eastAsia="仿宋_GB2312" w:cs="Times New Roman"/>
          <w:kern w:val="2"/>
          <w:sz w:val="32"/>
          <w:szCs w:val="32"/>
          <w:lang w:val="en-US" w:eastAsia="zh-CN" w:bidi="ar-SA"/>
        </w:rPr>
        <w:t>1.</w:t>
      </w:r>
      <w:r>
        <w:rPr>
          <w:rFonts w:hint="default" w:ascii="Times New Roman" w:hAnsi="Times New Roman" w:eastAsia="仿宋_GB2312" w:cs="Times New Roman"/>
          <w:kern w:val="2"/>
          <w:sz w:val="32"/>
          <w:szCs w:val="32"/>
          <w:lang w:val="en-US" w:eastAsia="zh-CN" w:bidi="ar-SA"/>
        </w:rPr>
        <w:t>振兴公司</w:t>
      </w:r>
      <w:r>
        <w:rPr>
          <w:rFonts w:hint="eastAsia" w:ascii="Times New Roman" w:hAnsi="Times New Roman" w:cs="Times New Roman"/>
          <w:kern w:val="2"/>
          <w:sz w:val="32"/>
          <w:szCs w:val="32"/>
          <w:lang w:val="en-US" w:eastAsia="zh-CN" w:bidi="ar-SA"/>
        </w:rPr>
        <w:t>，</w:t>
      </w:r>
      <w:r>
        <w:rPr>
          <w:rFonts w:hint="default" w:ascii="Times New Roman" w:hAnsi="Times New Roman" w:eastAsia="仿宋_GB2312" w:cs="Times New Roman"/>
          <w:kern w:val="2"/>
          <w:sz w:val="32"/>
          <w:szCs w:val="32"/>
          <w:lang w:val="en-US" w:eastAsia="zh-CN" w:bidi="ar-SA"/>
        </w:rPr>
        <w:t>未落实安全生产主体责任，存在安全风险辨识不全面、隐患排</w:t>
      </w:r>
      <w:r>
        <w:rPr>
          <w:rFonts w:hint="default" w:ascii="Times New Roman" w:hAnsi="Times New Roman" w:cs="Times New Roman"/>
          <w:lang w:val="en-US" w:eastAsia="zh-CN"/>
        </w:rPr>
        <w:t>查治理不到位、</w:t>
      </w:r>
      <w:r>
        <w:rPr>
          <w:rFonts w:hint="eastAsia" w:ascii="Times New Roman" w:hAnsi="Times New Roman" w:cs="Times New Roman"/>
          <w:lang w:val="en-US" w:eastAsia="zh-CN"/>
        </w:rPr>
        <w:t>操作规程不健全</w:t>
      </w:r>
      <w:r>
        <w:rPr>
          <w:rFonts w:hint="default" w:ascii="Times New Roman" w:hAnsi="Times New Roman" w:cs="Times New Roman"/>
          <w:lang w:val="en-US" w:eastAsia="zh-CN"/>
        </w:rPr>
        <w:t>等问题，对事故发生负有责任。依据《中华人民共和国安全生产法》第一百一十四条第一项</w:t>
      </w:r>
      <w:r>
        <w:rPr>
          <w:rStyle w:val="18"/>
          <w:rFonts w:hint="default" w:ascii="Times New Roman" w:hAnsi="Times New Roman" w:eastAsia="宋体"/>
          <w:sz w:val="32"/>
          <w:szCs w:val="32"/>
          <w:lang w:val="en-US" w:eastAsia="zh-CN"/>
        </w:rPr>
        <w:t>[</w:t>
      </w:r>
      <w:r>
        <w:rPr>
          <w:rStyle w:val="18"/>
          <w:rFonts w:hint="default" w:ascii="Times New Roman" w:hAnsi="Times New Roman" w:eastAsia="宋体"/>
          <w:sz w:val="32"/>
          <w:szCs w:val="32"/>
          <w:lang w:val="en-US" w:eastAsia="zh-CN"/>
        </w:rPr>
        <w:footnoteReference w:id="3"/>
      </w:r>
      <w:r>
        <w:rPr>
          <w:rStyle w:val="18"/>
          <w:rFonts w:hint="default" w:ascii="Times New Roman" w:hAnsi="Times New Roman" w:eastAsia="宋体"/>
          <w:sz w:val="32"/>
          <w:szCs w:val="32"/>
          <w:lang w:val="en-US" w:eastAsia="zh-CN"/>
        </w:rPr>
        <w:t>]</w:t>
      </w:r>
      <w:r>
        <w:rPr>
          <w:rFonts w:hint="default" w:ascii="Times New Roman" w:hAnsi="Times New Roman" w:cs="Times New Roman"/>
          <w:lang w:val="en-US" w:eastAsia="zh-CN"/>
        </w:rPr>
        <w:t>、《生产安全事故罚款处罚规定》第十四条第二项</w:t>
      </w:r>
      <w:r>
        <w:rPr>
          <w:rStyle w:val="18"/>
          <w:rFonts w:hint="default" w:ascii="Times New Roman" w:hAnsi="Times New Roman" w:eastAsia="宋体"/>
          <w:sz w:val="32"/>
          <w:szCs w:val="32"/>
          <w:lang w:val="en-US" w:eastAsia="zh-CN"/>
        </w:rPr>
        <w:t>[</w:t>
      </w:r>
      <w:r>
        <w:rPr>
          <w:rStyle w:val="18"/>
          <w:rFonts w:hint="default" w:ascii="Times New Roman" w:hAnsi="Times New Roman" w:eastAsia="宋体"/>
          <w:sz w:val="32"/>
          <w:szCs w:val="32"/>
          <w:lang w:val="en-US" w:eastAsia="zh-CN"/>
        </w:rPr>
        <w:footnoteReference w:id="4"/>
      </w:r>
      <w:r>
        <w:rPr>
          <w:rStyle w:val="18"/>
          <w:rFonts w:hint="default" w:ascii="Times New Roman" w:hAnsi="Times New Roman" w:eastAsia="宋体"/>
          <w:sz w:val="32"/>
          <w:szCs w:val="32"/>
          <w:lang w:val="en-US" w:eastAsia="zh-CN"/>
        </w:rPr>
        <w:t>]</w:t>
      </w:r>
      <w:r>
        <w:rPr>
          <w:rFonts w:hint="default" w:ascii="Times New Roman" w:hAnsi="Times New Roman" w:cs="Times New Roman"/>
          <w:lang w:val="en-US" w:eastAsia="zh-CN"/>
        </w:rPr>
        <w:t>的规定，建议由区应急管理局对该公司给予人民币</w:t>
      </w:r>
      <w:r>
        <w:rPr>
          <w:rFonts w:hint="eastAsia" w:ascii="Times New Roman" w:hAnsi="Times New Roman" w:cs="Times New Roman"/>
          <w:lang w:val="en-US" w:eastAsia="zh-CN"/>
        </w:rPr>
        <w:t>69</w:t>
      </w:r>
      <w:r>
        <w:rPr>
          <w:rFonts w:hint="default" w:ascii="Times New Roman" w:hAnsi="Times New Roman" w:cs="Times New Roman"/>
          <w:lang w:val="en-US" w:eastAsia="zh-CN"/>
        </w:rPr>
        <w:t>万元罚款的行政处罚。</w:t>
      </w:r>
      <w:bookmarkStart w:id="62" w:name="_Toc4269"/>
    </w:p>
    <w:bookmarkEnd w:id="62"/>
    <w:p w14:paraId="3D9235F0">
      <w:pPr>
        <w:pageBreakBefore w:val="0"/>
        <w:kinsoku/>
        <w:wordWrap/>
        <w:overflowPunct/>
        <w:topLinePunct w:val="0"/>
        <w:autoSpaceDE/>
        <w:autoSpaceDN/>
        <w:bidi w:val="0"/>
        <w:adjustRightInd/>
        <w:snapToGrid/>
        <w:spacing w:line="560" w:lineRule="exact"/>
        <w:ind w:firstLine="640" w:firstLineChars="200"/>
        <w:textAlignment w:val="auto"/>
        <w:rPr>
          <w:rFonts w:hint="eastAsia" w:eastAsia="仿宋_GB2312"/>
          <w:lang w:eastAsia="zh-CN"/>
        </w:rPr>
      </w:pPr>
      <w:r>
        <w:rPr>
          <w:rFonts w:hint="eastAsia" w:ascii="Times New Roman" w:hAnsi="Times New Roman" w:eastAsia="仿宋_GB2312" w:cs="Times New Roman"/>
          <w:kern w:val="2"/>
          <w:sz w:val="32"/>
          <w:szCs w:val="32"/>
          <w:lang w:val="en-US" w:eastAsia="zh-CN" w:bidi="ar-SA"/>
        </w:rPr>
        <w:t>2.</w:t>
      </w:r>
      <w:r>
        <w:rPr>
          <w:rFonts w:hint="eastAsia" w:ascii="Times New Roman" w:hAnsi="Times New Roman"/>
          <w:sz w:val="32"/>
          <w:szCs w:val="32"/>
          <w:lang w:eastAsia="zh-CN"/>
        </w:rPr>
        <w:t>董某良，振兴</w:t>
      </w:r>
      <w:r>
        <w:rPr>
          <w:rFonts w:hint="eastAsia" w:ascii="Times New Roman" w:hAnsi="Times New Roman" w:eastAsia="仿宋_GB2312"/>
          <w:sz w:val="32"/>
          <w:szCs w:val="32"/>
          <w:lang w:eastAsia="zh-CN"/>
        </w:rPr>
        <w:t>公司</w:t>
      </w:r>
      <w:r>
        <w:rPr>
          <w:rFonts w:hint="eastAsia" w:ascii="Times New Roman" w:hAnsi="Times New Roman" w:eastAsia="仿宋_GB2312"/>
          <w:sz w:val="32"/>
          <w:szCs w:val="32"/>
        </w:rPr>
        <w:t>主要负责人，未履行《中华人民共和国安全生产法》第二十一条第</w:t>
      </w:r>
      <w:r>
        <w:rPr>
          <w:rFonts w:hint="eastAsia" w:ascii="Times New Roman" w:hAnsi="Times New Roman"/>
          <w:sz w:val="32"/>
          <w:szCs w:val="32"/>
          <w:lang w:eastAsia="zh-CN"/>
        </w:rPr>
        <w:t>二</w:t>
      </w:r>
      <w:r>
        <w:rPr>
          <w:rFonts w:hint="eastAsia" w:ascii="Times New Roman" w:hAnsi="Times New Roman" w:eastAsia="仿宋_GB2312"/>
          <w:sz w:val="32"/>
          <w:szCs w:val="32"/>
          <w:lang w:eastAsia="zh-CN"/>
        </w:rPr>
        <w:t>、</w:t>
      </w:r>
      <w:r>
        <w:rPr>
          <w:rFonts w:hint="eastAsia" w:ascii="Times New Roman" w:hAnsi="Times New Roman" w:eastAsia="仿宋_GB2312"/>
          <w:sz w:val="32"/>
          <w:szCs w:val="32"/>
        </w:rPr>
        <w:t>五</w:t>
      </w:r>
      <w:r>
        <w:rPr>
          <w:rFonts w:hint="eastAsia" w:ascii="Times New Roman" w:hAnsi="Times New Roman" w:eastAsia="仿宋_GB2312"/>
          <w:sz w:val="32"/>
          <w:szCs w:val="32"/>
          <w:vertAlign w:val="superscript"/>
          <w:lang w:val="en-US" w:eastAsia="zh-CN"/>
        </w:rPr>
        <w:t>[</w:t>
      </w:r>
      <w:r>
        <w:rPr>
          <w:rFonts w:hint="eastAsia" w:ascii="Times New Roman" w:hAnsi="Times New Roman" w:eastAsia="仿宋_GB2312"/>
          <w:sz w:val="32"/>
          <w:szCs w:val="32"/>
          <w:vertAlign w:val="superscript"/>
          <w:lang w:val="en-US" w:eastAsia="zh-CN"/>
        </w:rPr>
        <w:footnoteReference w:id="5"/>
      </w:r>
      <w:r>
        <w:rPr>
          <w:rFonts w:hint="eastAsia" w:ascii="Times New Roman" w:hAnsi="Times New Roman" w:eastAsia="仿宋_GB2312"/>
          <w:sz w:val="32"/>
          <w:szCs w:val="32"/>
          <w:vertAlign w:val="superscript"/>
          <w:lang w:val="en-US" w:eastAsia="zh-CN"/>
        </w:rPr>
        <w:t>]</w:t>
      </w:r>
      <w:r>
        <w:rPr>
          <w:rFonts w:hint="eastAsia" w:ascii="Times New Roman" w:hAnsi="Times New Roman" w:eastAsia="仿宋_GB2312"/>
          <w:sz w:val="32"/>
          <w:szCs w:val="32"/>
        </w:rPr>
        <w:t>项规定的安全生产管理职责，</w:t>
      </w:r>
      <w:r>
        <w:rPr>
          <w:rFonts w:hint="eastAsia" w:ascii="Times New Roman" w:hAnsi="Times New Roman"/>
          <w:sz w:val="32"/>
          <w:szCs w:val="32"/>
          <w:lang w:eastAsia="zh-CN"/>
        </w:rPr>
        <w:t>组织制定操作规程不健全，开展</w:t>
      </w:r>
      <w:r>
        <w:rPr>
          <w:rFonts w:hint="eastAsia" w:ascii="Times New Roman" w:hAnsi="Times New Roman" w:eastAsia="仿宋_GB2312"/>
          <w:sz w:val="32"/>
          <w:szCs w:val="32"/>
          <w:lang w:eastAsia="zh-CN"/>
        </w:rPr>
        <w:t>安全风险辨识不</w:t>
      </w:r>
      <w:r>
        <w:rPr>
          <w:rFonts w:hint="eastAsia" w:ascii="Times New Roman" w:hAnsi="Times New Roman"/>
          <w:sz w:val="32"/>
          <w:szCs w:val="32"/>
          <w:lang w:eastAsia="zh-CN"/>
        </w:rPr>
        <w:t>全面</w:t>
      </w:r>
      <w:r>
        <w:rPr>
          <w:rFonts w:hint="eastAsia" w:ascii="Times New Roman" w:hAnsi="Times New Roman" w:eastAsia="仿宋_GB2312"/>
          <w:sz w:val="32"/>
          <w:szCs w:val="32"/>
          <w:lang w:eastAsia="zh-CN"/>
        </w:rPr>
        <w:t>且未及时消除事故隐患</w:t>
      </w:r>
      <w:r>
        <w:rPr>
          <w:rFonts w:hint="eastAsia" w:ascii="Times New Roman" w:hAnsi="Times New Roman" w:eastAsia="仿宋_GB2312"/>
          <w:sz w:val="32"/>
          <w:szCs w:val="32"/>
        </w:rPr>
        <w:t>，对事故发生负有责任</w:t>
      </w:r>
      <w:r>
        <w:rPr>
          <w:rFonts w:hint="eastAsia" w:ascii="Times New Roman" w:hAnsi="Times New Roman"/>
          <w:sz w:val="32"/>
          <w:szCs w:val="32"/>
          <w:lang w:eastAsia="zh-CN"/>
        </w:rPr>
        <w:t>。</w:t>
      </w:r>
      <w:r>
        <w:rPr>
          <w:rFonts w:hint="eastAsia" w:ascii="Times New Roman" w:hAnsi="Times New Roman" w:eastAsia="仿宋_GB2312"/>
          <w:sz w:val="32"/>
          <w:szCs w:val="32"/>
        </w:rPr>
        <w:t>依据《中华人民共和国安全生产法》</w:t>
      </w:r>
      <w:r>
        <w:rPr>
          <w:rFonts w:hint="eastAsia" w:ascii="Times New Roman" w:hAnsi="Times New Roman" w:eastAsia="仿宋_GB2312"/>
          <w:sz w:val="32"/>
          <w:szCs w:val="32"/>
          <w:lang w:val="en-US" w:eastAsia="zh-CN"/>
        </w:rPr>
        <w:t>第九十五条第一项</w:t>
      </w:r>
      <w:r>
        <w:rPr>
          <w:rFonts w:hint="eastAsia" w:ascii="Times New Roman" w:hAnsi="Times New Roman" w:eastAsia="仿宋_GB2312"/>
          <w:sz w:val="32"/>
          <w:szCs w:val="32"/>
          <w:vertAlign w:val="superscript"/>
          <w:lang w:val="en-US" w:eastAsia="zh-CN"/>
        </w:rPr>
        <w:t>[</w:t>
      </w:r>
      <w:r>
        <w:rPr>
          <w:rFonts w:hint="eastAsia" w:ascii="Times New Roman" w:hAnsi="Times New Roman" w:eastAsia="仿宋_GB2312"/>
          <w:sz w:val="32"/>
          <w:szCs w:val="32"/>
          <w:vertAlign w:val="superscript"/>
          <w:lang w:val="en-US" w:eastAsia="zh-CN"/>
        </w:rPr>
        <w:footnoteReference w:id="6"/>
      </w:r>
      <w:r>
        <w:rPr>
          <w:rFonts w:hint="eastAsia" w:ascii="Times New Roman" w:hAnsi="Times New Roman" w:eastAsia="仿宋_GB2312"/>
          <w:sz w:val="32"/>
          <w:szCs w:val="32"/>
          <w:vertAlign w:val="superscript"/>
          <w:lang w:val="en-US" w:eastAsia="zh-CN"/>
        </w:rPr>
        <w:t>]</w:t>
      </w:r>
      <w:r>
        <w:rPr>
          <w:rFonts w:hint="eastAsia" w:ascii="Times New Roman" w:hAnsi="Times New Roman" w:eastAsia="仿宋_GB2312"/>
          <w:sz w:val="32"/>
          <w:szCs w:val="32"/>
          <w:lang w:val="en-US" w:eastAsia="zh-CN"/>
        </w:rPr>
        <w:t>的规定</w:t>
      </w:r>
      <w:r>
        <w:rPr>
          <w:rFonts w:hint="eastAsia" w:ascii="Times New Roman" w:hAnsi="Times New Roman" w:eastAsia="仿宋_GB2312"/>
          <w:sz w:val="32"/>
          <w:szCs w:val="32"/>
        </w:rPr>
        <w:t>，对其处上一年年收入</w:t>
      </w:r>
      <w:r>
        <w:rPr>
          <w:rFonts w:hint="eastAsia" w:ascii="Times New Roman" w:hAnsi="Times New Roman"/>
          <w:sz w:val="32"/>
          <w:szCs w:val="32"/>
          <w:lang w:val="en-US" w:eastAsia="zh-CN"/>
        </w:rPr>
        <w:t>百分之四十</w:t>
      </w:r>
      <w:r>
        <w:rPr>
          <w:rFonts w:hint="eastAsia" w:ascii="Times New Roman" w:hAnsi="Times New Roman" w:eastAsia="仿宋_GB2312"/>
          <w:sz w:val="32"/>
          <w:szCs w:val="32"/>
        </w:rPr>
        <w:t>的罚款</w:t>
      </w:r>
      <w:r>
        <w:rPr>
          <w:rFonts w:hint="eastAsia" w:ascii="Times New Roman" w:hAnsi="Times New Roman" w:eastAsia="仿宋_GB2312"/>
          <w:sz w:val="32"/>
          <w:szCs w:val="32"/>
          <w:lang w:eastAsia="zh-CN"/>
        </w:rPr>
        <w:t>；</w:t>
      </w:r>
      <w:r>
        <w:rPr>
          <w:rFonts w:hint="eastAsia" w:ascii="Times New Roman" w:hAnsi="Times New Roman"/>
          <w:sz w:val="32"/>
          <w:szCs w:val="32"/>
          <w:lang w:eastAsia="zh-CN"/>
        </w:rPr>
        <w:t>董某良</w:t>
      </w:r>
      <w:r>
        <w:rPr>
          <w:rFonts w:hint="eastAsia" w:ascii="Times New Roman" w:hAnsi="Times New Roman" w:eastAsia="仿宋_GB2312"/>
          <w:sz w:val="32"/>
          <w:szCs w:val="32"/>
          <w:lang w:eastAsia="zh-CN"/>
        </w:rPr>
        <w:t>作为公司主要负责人迟报事故，依据</w:t>
      </w:r>
      <w:r>
        <w:rPr>
          <w:rFonts w:hint="eastAsia" w:ascii="Times New Roman" w:hAnsi="Times New Roman" w:eastAsia="仿宋_GB2312"/>
          <w:sz w:val="32"/>
          <w:szCs w:val="32"/>
        </w:rPr>
        <w:t>《中华人民共和国安全生产法》</w:t>
      </w:r>
      <w:r>
        <w:rPr>
          <w:rFonts w:hint="eastAsia" w:ascii="Times New Roman" w:hAnsi="Times New Roman" w:eastAsia="仿宋_GB2312"/>
          <w:sz w:val="32"/>
          <w:szCs w:val="32"/>
          <w:lang w:val="en-US" w:eastAsia="zh-CN"/>
        </w:rPr>
        <w:t>第一百一十条</w:t>
      </w:r>
      <w:r>
        <w:rPr>
          <w:rFonts w:hint="eastAsia" w:ascii="Times New Roman" w:hAnsi="Times New Roman" w:eastAsia="仿宋_GB2312"/>
          <w:sz w:val="32"/>
          <w:szCs w:val="32"/>
          <w:vertAlign w:val="superscript"/>
          <w:lang w:val="en-US" w:eastAsia="zh-CN"/>
        </w:rPr>
        <w:t>[</w:t>
      </w:r>
      <w:r>
        <w:rPr>
          <w:rFonts w:hint="eastAsia" w:ascii="Times New Roman" w:hAnsi="Times New Roman" w:eastAsia="仿宋_GB2312"/>
          <w:sz w:val="32"/>
          <w:szCs w:val="32"/>
          <w:vertAlign w:val="superscript"/>
          <w:lang w:val="en-US" w:eastAsia="zh-CN"/>
        </w:rPr>
        <w:footnoteReference w:id="7"/>
      </w:r>
      <w:r>
        <w:rPr>
          <w:rFonts w:hint="eastAsia" w:ascii="Times New Roman" w:hAnsi="Times New Roman" w:eastAsia="仿宋_GB2312"/>
          <w:sz w:val="32"/>
          <w:szCs w:val="32"/>
          <w:vertAlign w:val="superscript"/>
          <w:lang w:val="en-US" w:eastAsia="zh-CN"/>
        </w:rPr>
        <w:t>]</w:t>
      </w:r>
      <w:r>
        <w:rPr>
          <w:rFonts w:hint="eastAsia" w:ascii="Times New Roman" w:hAnsi="Times New Roman" w:eastAsia="仿宋_GB2312"/>
          <w:sz w:val="32"/>
          <w:szCs w:val="32"/>
          <w:lang w:eastAsia="zh-CN"/>
        </w:rPr>
        <w:t>的规定，对其处</w:t>
      </w:r>
      <w:r>
        <w:rPr>
          <w:rFonts w:hint="eastAsia" w:ascii="Times New Roman" w:hAnsi="Times New Roman" w:eastAsia="仿宋_GB2312"/>
          <w:sz w:val="32"/>
          <w:szCs w:val="32"/>
        </w:rPr>
        <w:t>上一年年收入</w:t>
      </w:r>
      <w:r>
        <w:rPr>
          <w:rFonts w:hint="eastAsia" w:ascii="Times New Roman" w:hAnsi="Times New Roman"/>
          <w:sz w:val="32"/>
          <w:szCs w:val="32"/>
          <w:lang w:val="en-US" w:eastAsia="zh-CN"/>
        </w:rPr>
        <w:t>百分之六十</w:t>
      </w:r>
      <w:r>
        <w:rPr>
          <w:rFonts w:hint="eastAsia" w:ascii="Times New Roman" w:hAnsi="Times New Roman" w:eastAsia="仿宋_GB2312"/>
          <w:sz w:val="32"/>
          <w:szCs w:val="32"/>
        </w:rPr>
        <w:t>的罚款</w:t>
      </w:r>
      <w:r>
        <w:rPr>
          <w:rFonts w:hint="eastAsia" w:ascii="Times New Roman" w:hAnsi="Times New Roman" w:eastAsia="仿宋_GB2312"/>
          <w:sz w:val="32"/>
          <w:szCs w:val="32"/>
          <w:lang w:eastAsia="zh-CN"/>
        </w:rPr>
        <w:t>。</w:t>
      </w:r>
      <w:r>
        <w:rPr>
          <w:rFonts w:hint="eastAsia" w:ascii="Times New Roman" w:hAnsi="Times New Roman" w:eastAsia="仿宋_GB2312"/>
          <w:sz w:val="32"/>
          <w:szCs w:val="32"/>
        </w:rPr>
        <w:t>建议由区应急管理局对</w:t>
      </w:r>
      <w:r>
        <w:rPr>
          <w:rFonts w:hint="eastAsia" w:ascii="Times New Roman" w:hAnsi="Times New Roman"/>
          <w:sz w:val="32"/>
          <w:szCs w:val="32"/>
          <w:lang w:eastAsia="zh-CN"/>
        </w:rPr>
        <w:t>董某良</w:t>
      </w:r>
      <w:r>
        <w:rPr>
          <w:rFonts w:hint="eastAsia" w:ascii="Times New Roman" w:hAnsi="Times New Roman" w:eastAsia="仿宋_GB2312"/>
          <w:sz w:val="32"/>
          <w:szCs w:val="32"/>
          <w:lang w:eastAsia="zh-CN"/>
        </w:rPr>
        <w:t>合并处罚，处</w:t>
      </w:r>
      <w:r>
        <w:rPr>
          <w:rFonts w:hint="eastAsia" w:ascii="Times New Roman" w:hAnsi="Times New Roman" w:eastAsia="仿宋_GB2312"/>
          <w:sz w:val="32"/>
          <w:szCs w:val="32"/>
        </w:rPr>
        <w:t>上一年年收入</w:t>
      </w:r>
      <w:r>
        <w:rPr>
          <w:rFonts w:hint="eastAsia" w:ascii="Times New Roman" w:hAnsi="Times New Roman"/>
          <w:sz w:val="32"/>
          <w:szCs w:val="32"/>
          <w:lang w:val="en-US" w:eastAsia="zh-CN"/>
        </w:rPr>
        <w:t>百分之百</w:t>
      </w:r>
      <w:r>
        <w:rPr>
          <w:rFonts w:hint="eastAsia" w:ascii="Times New Roman" w:hAnsi="Times New Roman" w:eastAsia="仿宋_GB2312"/>
          <w:sz w:val="32"/>
          <w:szCs w:val="32"/>
        </w:rPr>
        <w:t>的罚款</w:t>
      </w:r>
      <w:r>
        <w:rPr>
          <w:rFonts w:hint="eastAsia" w:ascii="Times New Roman" w:hAnsi="Times New Roman" w:eastAsia="仿宋_GB2312"/>
          <w:sz w:val="32"/>
          <w:szCs w:val="32"/>
          <w:lang w:eastAsia="zh-CN"/>
        </w:rPr>
        <w:t>，共计人民币</w:t>
      </w:r>
      <w:r>
        <w:rPr>
          <w:rFonts w:hint="eastAsia" w:ascii="Times New Roman" w:hAnsi="Times New Roman"/>
          <w:sz w:val="32"/>
          <w:szCs w:val="32"/>
          <w:lang w:val="en-US" w:eastAsia="zh-CN"/>
        </w:rPr>
        <w:t>10.5</w:t>
      </w:r>
      <w:r>
        <w:rPr>
          <w:rFonts w:hint="eastAsia" w:ascii="Times New Roman" w:hAnsi="Times New Roman" w:eastAsia="仿宋_GB2312"/>
          <w:sz w:val="32"/>
          <w:szCs w:val="32"/>
          <w:lang w:val="en-US" w:eastAsia="zh-CN"/>
        </w:rPr>
        <w:t>万元</w:t>
      </w:r>
      <w:r>
        <w:rPr>
          <w:rFonts w:hint="eastAsia" w:ascii="Times New Roman" w:hAnsi="Times New Roman" w:eastAsia="仿宋_GB2312"/>
          <w:sz w:val="32"/>
          <w:szCs w:val="32"/>
        </w:rPr>
        <w:t>。</w:t>
      </w:r>
    </w:p>
    <w:p w14:paraId="14F19EE9">
      <w:pPr>
        <w:pStyle w:val="3"/>
        <w:bidi w:val="0"/>
        <w:rPr>
          <w:rFonts w:hint="eastAsia" w:eastAsia="仿宋_GB2312"/>
          <w:lang w:eastAsia="zh-CN"/>
        </w:rPr>
      </w:pPr>
      <w:bookmarkStart w:id="63" w:name="_Toc8624"/>
      <w:r>
        <w:rPr>
          <w:rFonts w:hint="eastAsia"/>
          <w:lang w:val="en-US" w:eastAsia="zh-CN"/>
        </w:rPr>
        <w:t>（三）其他处理建议</w:t>
      </w:r>
      <w:bookmarkEnd w:id="63"/>
    </w:p>
    <w:p w14:paraId="275FBE21">
      <w:pPr>
        <w:pStyle w:val="5"/>
        <w:pageBreakBefore w:val="0"/>
        <w:kinsoku/>
        <w:wordWrap/>
        <w:overflowPunct/>
        <w:topLinePunct w:val="0"/>
        <w:bidi w:val="0"/>
        <w:snapToGrid/>
        <w:spacing w:line="560" w:lineRule="exact"/>
        <w:textAlignment w:val="auto"/>
        <w:rPr>
          <w:rFonts w:hint="eastAsia" w:eastAsia="仿宋_GB2312"/>
          <w:lang w:val="en" w:eastAsia="zh-CN"/>
        </w:rPr>
      </w:pPr>
      <w:r>
        <w:rPr>
          <w:rFonts w:hint="eastAsia"/>
          <w:lang w:eastAsia="zh-CN"/>
        </w:rPr>
        <w:t>事故调查过程中，还发现振兴公司存在特种作业人员未取得相应资格上岗作业、未为从业人员提供符合标准的劳动防护用品的安全生产违法行为，区应急管理局已立案调查。</w:t>
      </w:r>
    </w:p>
    <w:p w14:paraId="3554D929">
      <w:pPr>
        <w:pStyle w:val="2"/>
        <w:pageBreakBefore w:val="0"/>
        <w:kinsoku/>
        <w:wordWrap/>
        <w:overflowPunct/>
        <w:topLinePunct w:val="0"/>
        <w:autoSpaceDE/>
        <w:autoSpaceDN/>
        <w:bidi w:val="0"/>
        <w:adjustRightInd/>
        <w:snapToGrid/>
        <w:spacing w:line="560" w:lineRule="exact"/>
        <w:textAlignment w:val="auto"/>
      </w:pPr>
      <w:bookmarkStart w:id="64" w:name="_Toc30911"/>
      <w:bookmarkStart w:id="65" w:name="_Toc3342"/>
      <w:r>
        <w:rPr>
          <w:rFonts w:hint="eastAsia"/>
        </w:rPr>
        <w:t>六、事故整改</w:t>
      </w:r>
      <w:r>
        <w:t>和</w:t>
      </w:r>
      <w:r>
        <w:rPr>
          <w:rFonts w:hint="eastAsia"/>
        </w:rPr>
        <w:t>防范措施</w:t>
      </w:r>
      <w:r>
        <w:t>建议</w:t>
      </w:r>
      <w:bookmarkEnd w:id="64"/>
      <w:bookmarkEnd w:id="65"/>
    </w:p>
    <w:p w14:paraId="47B0B91A">
      <w:pPr>
        <w:pageBreakBefore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sz w:val="32"/>
          <w:szCs w:val="32"/>
          <w:lang w:val="en-US" w:eastAsia="zh-CN"/>
        </w:rPr>
      </w:pPr>
      <w:r>
        <w:rPr>
          <w:rFonts w:hint="eastAsia" w:ascii="Times New Roman" w:hAnsi="Times New Roman"/>
          <w:sz w:val="32"/>
          <w:szCs w:val="32"/>
          <w:lang w:val="en-US" w:eastAsia="zh-CN"/>
        </w:rPr>
        <w:t>振兴</w:t>
      </w:r>
      <w:r>
        <w:rPr>
          <w:rFonts w:hint="eastAsia" w:ascii="Times New Roman" w:hAnsi="Times New Roman" w:eastAsia="仿宋_GB2312"/>
          <w:sz w:val="32"/>
          <w:szCs w:val="32"/>
          <w:lang w:val="en-US" w:eastAsia="zh-CN"/>
        </w:rPr>
        <w:t>公司要深刻汲取事故教训，</w:t>
      </w:r>
      <w:r>
        <w:rPr>
          <w:rFonts w:hint="eastAsia" w:ascii="Times New Roman" w:hAnsi="Times New Roman" w:eastAsia="仿宋_GB2312"/>
          <w:sz w:val="32"/>
          <w:szCs w:val="32"/>
        </w:rPr>
        <w:t>严格遵守《中华人民共和国安全生产法》</w:t>
      </w:r>
      <w:r>
        <w:rPr>
          <w:rFonts w:hint="eastAsia" w:ascii="Times New Roman" w:hAnsi="Times New Roman" w:eastAsia="仿宋_GB2312"/>
          <w:sz w:val="32"/>
          <w:szCs w:val="32"/>
          <w:lang w:eastAsia="zh-CN"/>
        </w:rPr>
        <w:t>《生产安全事故报告和调查处理条例》</w:t>
      </w:r>
      <w:r>
        <w:rPr>
          <w:rFonts w:hint="eastAsia" w:ascii="Times New Roman" w:hAnsi="Times New Roman" w:eastAsia="仿宋_GB2312"/>
          <w:sz w:val="32"/>
          <w:szCs w:val="32"/>
          <w:lang w:val="en-US" w:eastAsia="zh-CN"/>
        </w:rPr>
        <w:t>《天津市生产经营单位安全生产主体责任规定》</w:t>
      </w:r>
      <w:r>
        <w:rPr>
          <w:rFonts w:hint="eastAsia" w:ascii="Times New Roman" w:hAnsi="Times New Roman" w:eastAsia="仿宋_GB2312"/>
          <w:sz w:val="32"/>
          <w:szCs w:val="32"/>
        </w:rPr>
        <w:t>等法律法规的要求，全面落实安全生产主体责任，加强安全管理</w:t>
      </w:r>
      <w:r>
        <w:rPr>
          <w:rFonts w:hint="eastAsia" w:ascii="Times New Roman" w:hAnsi="Times New Roman" w:eastAsia="仿宋_GB2312"/>
          <w:sz w:val="32"/>
          <w:szCs w:val="32"/>
          <w:lang w:eastAsia="zh-CN"/>
        </w:rPr>
        <w:t>。</w:t>
      </w:r>
    </w:p>
    <w:p w14:paraId="65214D7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sz w:val="32"/>
          <w:szCs w:val="32"/>
          <w:lang w:eastAsia="zh-CN"/>
        </w:rPr>
      </w:pPr>
      <w:r>
        <w:rPr>
          <w:rFonts w:hint="eastAsia" w:ascii="Times New Roman" w:hAnsi="Times New Roman"/>
          <w:sz w:val="32"/>
          <w:szCs w:val="32"/>
          <w:lang w:val="en-US" w:eastAsia="zh-CN"/>
        </w:rPr>
        <w:t>1</w:t>
      </w:r>
      <w:r>
        <w:rPr>
          <w:rFonts w:hint="default" w:ascii="Times New Roman" w:hAnsi="Times New Roman"/>
          <w:sz w:val="32"/>
          <w:szCs w:val="32"/>
        </w:rPr>
        <w:t>.</w:t>
      </w:r>
      <w:r>
        <w:rPr>
          <w:rFonts w:hint="eastAsia" w:ascii="Times New Roman" w:hAnsi="Times New Roman" w:eastAsia="仿宋_GB2312"/>
          <w:sz w:val="32"/>
          <w:szCs w:val="32"/>
        </w:rPr>
        <w:t>要</w:t>
      </w:r>
      <w:r>
        <w:rPr>
          <w:rFonts w:hint="default"/>
          <w:lang w:val="en-US" w:eastAsia="zh-CN"/>
        </w:rPr>
        <w:t>严格落实</w:t>
      </w:r>
      <w:r>
        <w:rPr>
          <w:rFonts w:hint="eastAsia"/>
          <w:lang w:val="en-US" w:eastAsia="zh-CN"/>
        </w:rPr>
        <w:t>安全风险分级管控和隐患排查治理双重预防机制</w:t>
      </w:r>
      <w:r>
        <w:rPr>
          <w:rFonts w:hint="default"/>
          <w:lang w:eastAsia="zh-CN"/>
        </w:rPr>
        <w:t>，</w:t>
      </w:r>
      <w:r>
        <w:rPr>
          <w:rFonts w:hint="eastAsia" w:ascii="Times New Roman" w:hAnsi="Times New Roman"/>
          <w:sz w:val="32"/>
          <w:szCs w:val="32"/>
          <w:lang w:eastAsia="zh-CN"/>
        </w:rPr>
        <w:t>全方位、全过程辨识生产工艺、设备设施、作业环境等方面存在的安全风险</w:t>
      </w:r>
      <w:r>
        <w:rPr>
          <w:rFonts w:hint="eastAsia"/>
          <w:lang w:val="en-US" w:eastAsia="zh-CN"/>
        </w:rPr>
        <w:t>，对存在易燃易爆气体的水箱进行安全设计，</w:t>
      </w:r>
      <w:r>
        <w:rPr>
          <w:rFonts w:hint="default"/>
          <w:lang w:eastAsia="zh-CN"/>
        </w:rPr>
        <w:t>采取</w:t>
      </w:r>
      <w:r>
        <w:rPr>
          <w:rFonts w:hint="eastAsia"/>
          <w:lang w:eastAsia="zh-CN"/>
        </w:rPr>
        <w:t>安装排气阀、可燃气体探测报警装置</w:t>
      </w:r>
      <w:r>
        <w:rPr>
          <w:rFonts w:hint="default"/>
          <w:lang w:eastAsia="zh-CN"/>
        </w:rPr>
        <w:t>等</w:t>
      </w:r>
      <w:r>
        <w:rPr>
          <w:rFonts w:hint="eastAsia"/>
          <w:lang w:eastAsia="zh-CN"/>
        </w:rPr>
        <w:t>安全技术措施管控风险</w:t>
      </w:r>
      <w:r>
        <w:rPr>
          <w:rFonts w:hint="eastAsia"/>
          <w:lang w:val="en-US" w:eastAsia="zh-CN"/>
        </w:rPr>
        <w:t>。</w:t>
      </w:r>
    </w:p>
    <w:p w14:paraId="563756D4">
      <w:pPr>
        <w:pStyle w:val="5"/>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kern w:val="2"/>
          <w:sz w:val="32"/>
          <w:szCs w:val="32"/>
          <w:lang w:val="en-US" w:eastAsia="zh-CN" w:bidi="ar-SA"/>
        </w:rPr>
      </w:pPr>
      <w:r>
        <w:rPr>
          <w:rFonts w:hint="eastAsia" w:ascii="Times New Roman" w:hAnsi="Times New Roman"/>
          <w:sz w:val="32"/>
          <w:szCs w:val="32"/>
          <w:lang w:val="en-US" w:eastAsia="zh-CN"/>
        </w:rPr>
        <w:t>2</w:t>
      </w:r>
      <w:r>
        <w:rPr>
          <w:rFonts w:hint="default"/>
          <w:lang w:val="en-US" w:eastAsia="zh-CN"/>
        </w:rPr>
        <w:t>.</w:t>
      </w:r>
      <w:r>
        <w:rPr>
          <w:rFonts w:hint="eastAsia"/>
          <w:lang w:val="en-US" w:eastAsia="zh-CN"/>
        </w:rPr>
        <w:t>要</w:t>
      </w:r>
      <w:r>
        <w:rPr>
          <w:rFonts w:hint="eastAsia" w:ascii="仿宋_GB2312" w:hAnsi="黑体" w:eastAsia="仿宋_GB2312" w:cs="黑体"/>
          <w:sz w:val="32"/>
          <w:szCs w:val="32"/>
          <w:lang w:val="en-US" w:eastAsia="zh-CN"/>
        </w:rPr>
        <w:t>健全</w:t>
      </w:r>
      <w:r>
        <w:rPr>
          <w:rFonts w:hint="eastAsia" w:ascii="仿宋_GB2312" w:hAnsi="黑体" w:cs="黑体"/>
          <w:sz w:val="32"/>
          <w:szCs w:val="32"/>
          <w:lang w:val="en-US" w:eastAsia="zh-CN"/>
        </w:rPr>
        <w:t>除尘室安全生产</w:t>
      </w:r>
      <w:r>
        <w:rPr>
          <w:rFonts w:hint="eastAsia" w:ascii="仿宋_GB2312" w:hAnsi="黑体" w:eastAsia="仿宋_GB2312" w:cs="黑体"/>
          <w:sz w:val="32"/>
          <w:szCs w:val="32"/>
          <w:lang w:val="en-US" w:eastAsia="zh-CN"/>
        </w:rPr>
        <w:t>操作规程，明确</w:t>
      </w:r>
      <w:r>
        <w:rPr>
          <w:rFonts w:hint="eastAsia" w:ascii="仿宋_GB2312" w:hAnsi="黑体" w:cs="黑体"/>
          <w:sz w:val="32"/>
          <w:szCs w:val="32"/>
          <w:lang w:val="en-US" w:eastAsia="zh-CN"/>
        </w:rPr>
        <w:t>清灰作业</w:t>
      </w:r>
      <w:r>
        <w:rPr>
          <w:rFonts w:hint="eastAsia" w:ascii="Times New Roman" w:hAnsi="Times New Roman"/>
          <w:color w:val="auto"/>
          <w:sz w:val="32"/>
          <w:szCs w:val="32"/>
          <w:lang w:val="en-US" w:eastAsia="zh-CN"/>
        </w:rPr>
        <w:t>的环境要求、作业防护要求、禁止事项等内容；</w:t>
      </w:r>
      <w:r>
        <w:rPr>
          <w:rFonts w:hint="eastAsia" w:ascii="仿宋_GB2312" w:hAnsi="仿宋_GB2312" w:eastAsia="仿宋_GB2312" w:cs="仿宋_GB2312"/>
          <w:sz w:val="32"/>
          <w:szCs w:val="32"/>
          <w:lang w:val="en-US" w:eastAsia="zh-CN"/>
        </w:rPr>
        <w:t>对</w:t>
      </w:r>
      <w:r>
        <w:rPr>
          <w:rFonts w:hint="eastAsia" w:ascii="仿宋_GB2312" w:hAnsi="仿宋_GB2312" w:cs="仿宋_GB2312"/>
          <w:sz w:val="32"/>
          <w:szCs w:val="32"/>
          <w:lang w:val="en-US" w:eastAsia="zh-CN"/>
        </w:rPr>
        <w:t>从事清灰</w:t>
      </w:r>
      <w:r>
        <w:rPr>
          <w:rFonts w:hint="eastAsia" w:ascii="仿宋_GB2312" w:hAnsi="仿宋_GB2312" w:eastAsia="仿宋_GB2312" w:cs="仿宋_GB2312"/>
          <w:sz w:val="32"/>
          <w:szCs w:val="32"/>
          <w:lang w:val="en-US" w:eastAsia="zh-CN"/>
        </w:rPr>
        <w:t>作业具体从业人员开展安全生产教育和培训工作，经考</w:t>
      </w:r>
      <w:r>
        <w:rPr>
          <w:rFonts w:hint="eastAsia" w:ascii="仿宋_GB2312" w:hAnsi="仿宋_GB2312" w:cs="仿宋_GB2312"/>
          <w:sz w:val="32"/>
          <w:szCs w:val="32"/>
          <w:lang w:val="en-US" w:eastAsia="zh-CN"/>
        </w:rPr>
        <w:t>核</w:t>
      </w:r>
      <w:r>
        <w:rPr>
          <w:rFonts w:hint="eastAsia" w:ascii="仿宋_GB2312" w:hAnsi="仿宋_GB2312" w:eastAsia="仿宋_GB2312" w:cs="仿宋_GB2312"/>
          <w:sz w:val="32"/>
          <w:szCs w:val="32"/>
          <w:lang w:val="en-US" w:eastAsia="zh-CN"/>
        </w:rPr>
        <w:t>合格后方可上</w:t>
      </w:r>
      <w:r>
        <w:rPr>
          <w:rFonts w:hint="eastAsia" w:ascii="Times New Roman" w:hAnsi="Times New Roman" w:eastAsia="仿宋_GB2312" w:cs="Times New Roman"/>
          <w:kern w:val="2"/>
          <w:sz w:val="32"/>
          <w:szCs w:val="32"/>
          <w:lang w:val="en-US" w:eastAsia="zh-CN" w:bidi="ar-SA"/>
        </w:rPr>
        <w:t>岗作业。</w:t>
      </w:r>
    </w:p>
    <w:p w14:paraId="235B353B">
      <w:pPr>
        <w:pStyle w:val="5"/>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cs="Times New Roman"/>
          <w:kern w:val="2"/>
          <w:sz w:val="32"/>
          <w:szCs w:val="32"/>
          <w:lang w:val="en-US" w:eastAsia="zh-CN" w:bidi="ar-SA"/>
        </w:rPr>
      </w:pPr>
      <w:r>
        <w:rPr>
          <w:rFonts w:hint="eastAsia" w:ascii="Times New Roman" w:hAnsi="Times New Roman" w:cs="Times New Roman"/>
          <w:kern w:val="2"/>
          <w:sz w:val="32"/>
          <w:szCs w:val="32"/>
          <w:lang w:val="en-US" w:eastAsia="zh-CN" w:bidi="ar-SA"/>
        </w:rPr>
        <w:t>3.要将本次事故情况纳入公司年度安全生产教育和培训计划，并在事故现场设置事故警示教育牌，载明事故发生的时间、简要经过、事故原因、后果及影响、事故教训、已采取的事故防范和整改措施等内容。</w:t>
      </w:r>
    </w:p>
    <w:p w14:paraId="3108E6D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lang w:val="en-US" w:eastAsia="zh-CN"/>
        </w:rPr>
      </w:pPr>
      <w:r>
        <w:rPr>
          <w:rFonts w:hint="eastAsia" w:ascii="Times New Roman" w:hAnsi="Times New Roman" w:cs="Times New Roman"/>
          <w:kern w:val="2"/>
          <w:sz w:val="32"/>
          <w:szCs w:val="32"/>
          <w:lang w:val="en-US" w:eastAsia="zh-CN" w:bidi="ar-SA"/>
        </w:rPr>
        <w:t>4</w:t>
      </w:r>
      <w:r>
        <w:rPr>
          <w:rFonts w:hint="default" w:ascii="Times New Roman" w:hAnsi="Times New Roman" w:eastAsia="仿宋_GB2312" w:cs="Times New Roman"/>
          <w:kern w:val="2"/>
          <w:sz w:val="32"/>
          <w:szCs w:val="32"/>
          <w:lang w:val="en-US" w:eastAsia="zh-CN" w:bidi="ar-SA"/>
        </w:rPr>
        <w:t>.要</w:t>
      </w:r>
      <w:r>
        <w:rPr>
          <w:rFonts w:hint="eastAsia" w:ascii="Times New Roman" w:hAnsi="Times New Roman" w:eastAsia="仿宋_GB2312" w:cs="Times New Roman"/>
          <w:kern w:val="2"/>
          <w:sz w:val="32"/>
          <w:szCs w:val="32"/>
          <w:lang w:val="en-US" w:eastAsia="zh-CN" w:bidi="ar-SA"/>
        </w:rPr>
        <w:t>加</w:t>
      </w:r>
      <w:r>
        <w:rPr>
          <w:rFonts w:hint="eastAsia"/>
          <w:lang w:val="en-US" w:eastAsia="zh-CN"/>
        </w:rPr>
        <w:t>强《中华人民共和国安全生产法》《生产安全事故报告和调查处理条例》等法律法规的学习，提高安全生产管理水平，及时、如实报告生产安全事故。</w:t>
      </w:r>
    </w:p>
    <w:p w14:paraId="29A06C10">
      <w:pPr>
        <w:pStyle w:val="5"/>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eastAsia" w:ascii="Times New Roman" w:hAnsi="Times New Roman"/>
          <w:sz w:val="32"/>
          <w:szCs w:val="32"/>
          <w:lang w:eastAsia="zh-CN"/>
        </w:rPr>
      </w:pPr>
    </w:p>
    <w:sectPr>
      <w:footerReference r:id="rId8" w:type="default"/>
      <w:pgSz w:w="11906" w:h="16838"/>
      <w:pgMar w:top="2041" w:right="1559" w:bottom="57" w:left="1559" w:header="851" w:footer="1701" w:gutter="0"/>
      <w:pgNumType w:fmt="numberInDash" w:start="1"/>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8"/>
    <w:family w:val="auto"/>
    <w:pitch w:val="default"/>
    <w:sig w:usb0="E0002AFF" w:usb1="C0007841" w:usb2="00000009" w:usb3="00000000" w:csb0="400001FF" w:csb1="FFFF0000"/>
  </w:font>
  <w:font w:name="宋体">
    <w:panose1 w:val="02010600030101010101"/>
    <w:charset w:val="8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embedRegular r:id="rId1" w:fontKey="{11E7EFA6-4EF1-4031-840F-DE0A4E1DC753}"/>
  </w:font>
  <w:font w:name="黑体">
    <w:panose1 w:val="02010609060101010101"/>
    <w:charset w:val="86"/>
    <w:family w:val="auto"/>
    <w:pitch w:val="default"/>
    <w:sig w:usb0="800002BF" w:usb1="38CF7CFA" w:usb2="00000016" w:usb3="00000000" w:csb0="00040001" w:csb1="00000000"/>
    <w:embedRegular r:id="rId2" w:fontKey="{ABFDEB27-5DB6-4434-9F04-E3232F1F33C4}"/>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embedRegular r:id="rId3" w:fontKey="{ACAF6B97-92C8-410F-9C1F-75D863AE777E}"/>
  </w:font>
  <w:font w:name="楷体">
    <w:panose1 w:val="02010609060101010101"/>
    <w:charset w:val="86"/>
    <w:family w:val="modern"/>
    <w:pitch w:val="default"/>
    <w:sig w:usb0="800002BF" w:usb1="38CF7CFA" w:usb2="00000016" w:usb3="00000000" w:csb0="00040001" w:csb1="00000000"/>
    <w:embedRegular r:id="rId4" w:fontKey="{363595C0-71E8-4FAE-9672-DB6D66188080}"/>
  </w:font>
  <w:font w:name="方正楷体_GB2312">
    <w:altName w:val="楷体_GB2312"/>
    <w:panose1 w:val="02000000000000000000"/>
    <w:charset w:val="86"/>
    <w:family w:val="swiss"/>
    <w:pitch w:val="default"/>
    <w:sig w:usb0="00000000" w:usb1="00000000" w:usb2="00000012" w:usb3="00000000" w:csb0="00040001" w:csb1="00000000"/>
  </w:font>
  <w:font w:name="方正小标宋简体">
    <w:panose1 w:val="03000509000000000000"/>
    <w:charset w:val="86"/>
    <w:family w:val="script"/>
    <w:pitch w:val="default"/>
    <w:sig w:usb0="00000001" w:usb1="080E0000" w:usb2="00000000" w:usb3="00000000" w:csb0="00040000" w:csb1="00000000"/>
    <w:embedRegular r:id="rId5" w:fontKey="{D4B6485E-BC0C-4993-AF80-5DC54BE32A18}"/>
  </w:font>
  <w:font w:name="方正小标宋_GBK">
    <w:panose1 w:val="02000000000000000000"/>
    <w:charset w:val="86"/>
    <w:family w:val="auto"/>
    <w:pitch w:val="default"/>
    <w:sig w:usb0="A00002BF" w:usb1="38CF7CFA" w:usb2="00082016" w:usb3="00000000" w:csb0="00040001" w:csb1="00000000"/>
    <w:embedRegular r:id="rId6" w:fontKey="{C0BEBC8B-A2AA-48C4-A575-1FACA83CC0F0}"/>
  </w:font>
  <w:font w:name="方正楷体_GBK">
    <w:panose1 w:val="02000000000000000000"/>
    <w:charset w:val="86"/>
    <w:family w:val="auto"/>
    <w:pitch w:val="default"/>
    <w:sig w:usb0="800002BF" w:usb1="38CF7CFA" w:usb2="00000016" w:usb3="00000000" w:csb0="00040000" w:csb1="00000000"/>
    <w:embedRegular r:id="rId7" w:fontKey="{536D7982-B653-41BA-92E8-7B188FDFD8CA}"/>
  </w:font>
  <w:font w:name="仿宋">
    <w:panose1 w:val="02010609060101010101"/>
    <w:charset w:val="86"/>
    <w:family w:val="modern"/>
    <w:pitch w:val="default"/>
    <w:sig w:usb0="800002BF" w:usb1="38CF7CFA" w:usb2="00000016" w:usb3="00000000" w:csb0="00040001" w:csb1="00000000"/>
    <w:embedRegular r:id="rId8" w:fontKey="{7A93694F-7F88-44B8-9184-AA3697B5F1D9}"/>
  </w:font>
  <w:font w:name="楷体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BE4AD4">
    <w:pPr>
      <w:pStyle w:val="9"/>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E42598">
    <w:pPr>
      <w:pStyle w:val="9"/>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4CADE7">
    <w:pPr>
      <w:pStyle w:val="9"/>
      <w:ind w:right="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BFB67A">
    <w:pPr>
      <w:pStyle w:val="9"/>
      <w:ind w:right="360"/>
    </w:pPr>
    <w:r>
      <mc:AlternateContent>
        <mc:Choice Requires="wps">
          <w:drawing>
            <wp:anchor distT="0" distB="0" distL="114300" distR="114300" simplePos="0" relativeHeight="251661312" behindDoc="0" locked="0" layoutInCell="1" allowOverlap="1">
              <wp:simplePos x="0" y="0"/>
              <wp:positionH relativeFrom="margin">
                <wp:align>outside</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66559DCD">
                          <w:pPr>
                            <w:pStyle w:val="9"/>
                            <w:rPr>
                              <w:rStyle w:val="17"/>
                              <w:sz w:val="28"/>
                              <w:szCs w:val="28"/>
                            </w:rPr>
                          </w:pPr>
                          <w:r>
                            <w:rPr>
                              <w:rFonts w:hint="eastAsia" w:ascii="宋体" w:hAnsi="宋体" w:cs="宋体"/>
                              <w:sz w:val="28"/>
                              <w:szCs w:val="28"/>
                            </w:rPr>
                            <w:fldChar w:fldCharType="begin"/>
                          </w:r>
                          <w:r>
                            <w:rPr>
                              <w:rStyle w:val="17"/>
                              <w:rFonts w:hint="eastAsia" w:ascii="宋体" w:hAnsi="宋体" w:cs="宋体"/>
                              <w:sz w:val="28"/>
                              <w:szCs w:val="28"/>
                            </w:rPr>
                            <w:instrText xml:space="preserve">PAGE  </w:instrText>
                          </w:r>
                          <w:r>
                            <w:rPr>
                              <w:rFonts w:hint="eastAsia" w:ascii="宋体" w:hAnsi="宋体" w:cs="宋体"/>
                              <w:sz w:val="28"/>
                              <w:szCs w:val="28"/>
                            </w:rPr>
                            <w:fldChar w:fldCharType="separate"/>
                          </w:r>
                          <w:r>
                            <w:rPr>
                              <w:rStyle w:val="17"/>
                              <w:rFonts w:ascii="宋体" w:hAnsi="宋体" w:cs="宋体"/>
                              <w:sz w:val="28"/>
                              <w:szCs w:val="28"/>
                            </w:rPr>
                            <w:t>- 11 -</w:t>
                          </w:r>
                          <w:r>
                            <w:rPr>
                              <w:rFonts w:hint="eastAsia" w:ascii="宋体" w:hAnsi="宋体" w:cs="宋体"/>
                              <w:sz w:val="28"/>
                              <w:szCs w:val="28"/>
                            </w:rPr>
                            <w:fldChar w:fldCharType="end"/>
                          </w: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13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Csh/JjIAQAAmQMAAA4AAAAAAAAAAQAgAAAAHgEAAGRycy9lMm9Eb2Mu&#10;eG1sUEsFBgAAAAAGAAYAWQEAAFgFAAAAAA==&#10;">
              <v:fill on="f" focussize="0,0"/>
              <v:stroke on="f"/>
              <v:imagedata o:title=""/>
              <o:lock v:ext="edit" aspectratio="f"/>
              <v:textbox inset="0mm,0mm,0mm,0mm" style="mso-fit-shape-to-text:t;">
                <w:txbxContent>
                  <w:p w14:paraId="66559DCD">
                    <w:pPr>
                      <w:pStyle w:val="9"/>
                      <w:rPr>
                        <w:rStyle w:val="17"/>
                        <w:sz w:val="28"/>
                        <w:szCs w:val="28"/>
                      </w:rPr>
                    </w:pPr>
                    <w:r>
                      <w:rPr>
                        <w:rFonts w:hint="eastAsia" w:ascii="宋体" w:hAnsi="宋体" w:cs="宋体"/>
                        <w:sz w:val="28"/>
                        <w:szCs w:val="28"/>
                      </w:rPr>
                      <w:fldChar w:fldCharType="begin"/>
                    </w:r>
                    <w:r>
                      <w:rPr>
                        <w:rStyle w:val="17"/>
                        <w:rFonts w:hint="eastAsia" w:ascii="宋体" w:hAnsi="宋体" w:cs="宋体"/>
                        <w:sz w:val="28"/>
                        <w:szCs w:val="28"/>
                      </w:rPr>
                      <w:instrText xml:space="preserve">PAGE  </w:instrText>
                    </w:r>
                    <w:r>
                      <w:rPr>
                        <w:rFonts w:hint="eastAsia" w:ascii="宋体" w:hAnsi="宋体" w:cs="宋体"/>
                        <w:sz w:val="28"/>
                        <w:szCs w:val="28"/>
                      </w:rPr>
                      <w:fldChar w:fldCharType="separate"/>
                    </w:r>
                    <w:r>
                      <w:rPr>
                        <w:rStyle w:val="17"/>
                        <w:rFonts w:ascii="宋体" w:hAnsi="宋体" w:cs="宋体"/>
                        <w:sz w:val="28"/>
                        <w:szCs w:val="28"/>
                      </w:rPr>
                      <w:t>- 11 -</w:t>
                    </w:r>
                    <w:r>
                      <w:rPr>
                        <w:rFonts w:hint="eastAsia" w:ascii="宋体" w:hAnsi="宋体" w:cs="宋体"/>
                        <w:sz w:val="28"/>
                        <w:szCs w:val="28"/>
                      </w:rP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16">
    <w:p>
      <w:r>
        <w:separator/>
      </w:r>
    </w:p>
  </w:footnote>
  <w:footnote w:type="continuationSeparator" w:id="17">
    <w:p>
      <w:r>
        <w:continuationSeparator/>
      </w:r>
    </w:p>
  </w:footnote>
  <w:footnote w:id="0">
    <w:p w14:paraId="00BAF850">
      <w:pPr>
        <w:keepNext w:val="0"/>
        <w:keepLines w:val="0"/>
        <w:pageBreakBefore w:val="0"/>
        <w:widowControl w:val="0"/>
        <w:kinsoku/>
        <w:wordWrap/>
        <w:overflowPunct/>
        <w:topLinePunct w:val="0"/>
        <w:autoSpaceDE/>
        <w:autoSpaceDN/>
        <w:bidi w:val="0"/>
        <w:adjustRightInd/>
        <w:snapToGrid/>
        <w:spacing w:line="240" w:lineRule="exact"/>
        <w:jc w:val="both"/>
        <w:textAlignment w:val="auto"/>
        <w:rPr>
          <w:rFonts w:hint="default" w:ascii="宋体" w:hAnsi="宋体" w:eastAsia="宋体" w:cs="宋体"/>
          <w:kern w:val="0"/>
          <w:sz w:val="18"/>
          <w:szCs w:val="18"/>
          <w:shd w:val="clear" w:color="auto" w:fill="FFFFFF"/>
          <w:lang w:val="en-US" w:eastAsia="zh-CN" w:bidi="ar-SA"/>
        </w:rPr>
      </w:pPr>
      <w:r>
        <w:rPr>
          <w:rFonts w:hint="eastAsia" w:ascii="宋体" w:hAnsi="宋体" w:eastAsia="宋体" w:cs="宋体"/>
          <w:kern w:val="0"/>
          <w:sz w:val="18"/>
          <w:szCs w:val="18"/>
          <w:shd w:val="clear" w:color="auto" w:fill="FFFFFF"/>
          <w:lang w:val="en-US" w:eastAsia="zh-CN" w:bidi="ar-SA"/>
        </w:rPr>
        <w:t>[1] 《生产设备安全卫生设计总则》4.4 b) 设计生产设备，应通过下列途径保证其安全卫生：b）对可能产生的危险因素和有害因素采取有效的防护措施。</w:t>
      </w:r>
    </w:p>
  </w:footnote>
  <w:footnote w:id="1">
    <w:p w14:paraId="4F227C1C">
      <w:pPr>
        <w:keepNext w:val="0"/>
        <w:keepLines w:val="0"/>
        <w:pageBreakBefore w:val="0"/>
        <w:widowControl w:val="0"/>
        <w:kinsoku/>
        <w:wordWrap/>
        <w:overflowPunct/>
        <w:topLinePunct w:val="0"/>
        <w:autoSpaceDE/>
        <w:autoSpaceDN/>
        <w:bidi w:val="0"/>
        <w:adjustRightInd/>
        <w:snapToGrid/>
        <w:spacing w:line="240" w:lineRule="exact"/>
        <w:jc w:val="both"/>
        <w:textAlignment w:val="auto"/>
        <w:rPr>
          <w:rFonts w:hint="eastAsia" w:ascii="宋体" w:hAnsi="宋体" w:eastAsia="宋体" w:cs="宋体"/>
          <w:kern w:val="0"/>
          <w:sz w:val="18"/>
          <w:szCs w:val="18"/>
          <w:shd w:val="clear" w:color="auto" w:fill="FFFFFF"/>
          <w:lang w:val="en-US" w:eastAsia="zh-CN" w:bidi="ar-SA"/>
        </w:rPr>
      </w:pPr>
      <w:r>
        <w:rPr>
          <w:rFonts w:hint="eastAsia" w:ascii="宋体" w:hAnsi="宋体" w:eastAsia="宋体" w:cs="宋体"/>
          <w:kern w:val="0"/>
          <w:sz w:val="18"/>
          <w:szCs w:val="18"/>
          <w:shd w:val="clear" w:color="auto" w:fill="FFFFFF"/>
          <w:lang w:val="en-US" w:eastAsia="zh-CN" w:bidi="ar-SA"/>
        </w:rPr>
        <w:t>[</w:t>
      </w:r>
      <w:r>
        <w:rPr>
          <w:rFonts w:hint="eastAsia" w:ascii="宋体" w:hAnsi="宋体" w:eastAsia="宋体" w:cs="宋体"/>
          <w:kern w:val="0"/>
          <w:sz w:val="18"/>
          <w:szCs w:val="18"/>
          <w:shd w:val="clear" w:color="auto" w:fill="FFFFFF"/>
          <w:lang w:val="en-US" w:eastAsia="zh-CN" w:bidi="ar-SA"/>
        </w:rPr>
        <w:footnoteRef/>
      </w:r>
      <w:r>
        <w:rPr>
          <w:rFonts w:hint="eastAsia" w:ascii="宋体" w:hAnsi="宋体" w:eastAsia="宋体" w:cs="宋体"/>
          <w:kern w:val="0"/>
          <w:sz w:val="18"/>
          <w:szCs w:val="18"/>
          <w:shd w:val="clear" w:color="auto" w:fill="FFFFFF"/>
          <w:lang w:val="en-US" w:eastAsia="zh-CN" w:bidi="ar-SA"/>
        </w:rPr>
        <w:t>] 《中华人民共和国安全生产法》第四十一条 生产经营单位应当建立安全风险分级管控制度，按照安全风险分级采取相应的管控措施。生产经营单位应当建立健全并落实生产安全事故隐患排查治理制度，采取技术、管理措施，及时发现并消除事故隐患。</w:t>
      </w:r>
    </w:p>
  </w:footnote>
  <w:footnote w:id="2">
    <w:p w14:paraId="3A7B21E6">
      <w:pPr>
        <w:pStyle w:val="12"/>
        <w:snapToGrid w:val="0"/>
        <w:rPr>
          <w:rFonts w:hint="eastAsia" w:ascii="宋体" w:hAnsi="宋体" w:eastAsia="宋体" w:cs="宋体"/>
          <w:kern w:val="0"/>
          <w:sz w:val="18"/>
          <w:szCs w:val="18"/>
          <w:shd w:val="clear" w:color="auto" w:fill="FFFFFF"/>
          <w:lang w:val="en-US" w:eastAsia="zh-CN" w:bidi="ar-SA"/>
        </w:rPr>
      </w:pPr>
      <w:r>
        <w:rPr>
          <w:rFonts w:hint="eastAsia" w:ascii="宋体" w:hAnsi="宋体" w:eastAsia="宋体" w:cs="宋体"/>
          <w:kern w:val="0"/>
          <w:sz w:val="18"/>
          <w:szCs w:val="18"/>
          <w:shd w:val="clear" w:color="auto" w:fill="FFFFFF"/>
          <w:lang w:val="en-US" w:eastAsia="zh-CN" w:bidi="ar-SA"/>
        </w:rPr>
        <w:t>[</w:t>
      </w:r>
      <w:r>
        <w:rPr>
          <w:rFonts w:hint="eastAsia" w:ascii="宋体" w:hAnsi="宋体" w:eastAsia="宋体" w:cs="宋体"/>
          <w:kern w:val="0"/>
          <w:sz w:val="18"/>
          <w:szCs w:val="18"/>
          <w:shd w:val="clear" w:color="auto" w:fill="FFFFFF"/>
          <w:lang w:val="en-US" w:eastAsia="zh-CN" w:bidi="ar-SA"/>
        </w:rPr>
        <w:footnoteRef/>
      </w:r>
      <w:r>
        <w:rPr>
          <w:rFonts w:hint="eastAsia" w:ascii="宋体" w:hAnsi="宋体" w:eastAsia="宋体" w:cs="宋体"/>
          <w:kern w:val="0"/>
          <w:sz w:val="18"/>
          <w:szCs w:val="18"/>
          <w:shd w:val="clear" w:color="auto" w:fill="FFFFFF"/>
          <w:lang w:val="en-US" w:eastAsia="zh-CN" w:bidi="ar-SA"/>
        </w:rPr>
        <w:t>] 《天津市生产经营单位安全生产主体责任规定》第十三条第二款 安全生产操作规程应当覆盖本单位生产经营的全部作业活动，并明确安全操作要求、作业环境要求、作业防护要求、禁止事项、紧急情况现场处置措施等内容。</w:t>
      </w:r>
    </w:p>
  </w:footnote>
  <w:footnote w:id="3">
    <w:p w14:paraId="3BAAAE2E">
      <w:pPr>
        <w:keepNext w:val="0"/>
        <w:keepLines w:val="0"/>
        <w:pageBreakBefore w:val="0"/>
        <w:widowControl w:val="0"/>
        <w:kinsoku/>
        <w:wordWrap/>
        <w:overflowPunct/>
        <w:topLinePunct w:val="0"/>
        <w:autoSpaceDE/>
        <w:autoSpaceDN/>
        <w:bidi w:val="0"/>
        <w:adjustRightInd/>
        <w:snapToGrid/>
        <w:spacing w:line="240" w:lineRule="exact"/>
        <w:jc w:val="both"/>
        <w:textAlignment w:val="auto"/>
        <w:rPr>
          <w:rFonts w:hint="default" w:ascii="宋体" w:hAnsi="宋体" w:eastAsia="宋体" w:cs="宋体"/>
          <w:kern w:val="0"/>
          <w:sz w:val="18"/>
          <w:szCs w:val="18"/>
          <w:shd w:val="clear" w:color="auto" w:fill="FFFFFF"/>
          <w:lang w:val="en-US" w:eastAsia="zh-CN" w:bidi="ar-SA"/>
        </w:rPr>
      </w:pPr>
      <w:r>
        <w:rPr>
          <w:rFonts w:hint="eastAsia" w:ascii="宋体" w:hAnsi="宋体" w:eastAsia="宋体" w:cs="宋体"/>
          <w:kern w:val="0"/>
          <w:sz w:val="18"/>
          <w:szCs w:val="18"/>
          <w:shd w:val="clear" w:color="auto" w:fill="FFFFFF"/>
          <w:lang w:val="en-US" w:eastAsia="zh-CN" w:bidi="ar-SA"/>
        </w:rPr>
        <w:t>[</w:t>
      </w:r>
      <w:r>
        <w:rPr>
          <w:rFonts w:hint="eastAsia" w:ascii="宋体" w:hAnsi="宋体" w:eastAsia="宋体" w:cs="宋体"/>
          <w:kern w:val="0"/>
          <w:sz w:val="18"/>
          <w:szCs w:val="18"/>
          <w:shd w:val="clear" w:color="auto" w:fill="FFFFFF"/>
          <w:lang w:val="en-US" w:eastAsia="zh-CN" w:bidi="ar-SA"/>
        </w:rPr>
        <w:footnoteRef/>
      </w:r>
      <w:r>
        <w:rPr>
          <w:rFonts w:hint="eastAsia" w:ascii="宋体" w:hAnsi="宋体" w:eastAsia="宋体" w:cs="宋体"/>
          <w:kern w:val="0"/>
          <w:sz w:val="18"/>
          <w:szCs w:val="18"/>
          <w:shd w:val="clear" w:color="auto" w:fill="FFFFFF"/>
          <w:lang w:val="en-US" w:eastAsia="zh-CN" w:bidi="ar-SA"/>
        </w:rPr>
        <w:t>] 《中华人民共和国安全生产法》第一百一十四条 发生生产安全事故，对负有责任的生产经营单位除要求其依法承担相应的赔偿等责任外，由应急管理部门依照下列规定处以罚款：（一）发生一般事故的，处三十万元以上一百万元以下的罚款。</w:t>
      </w:r>
    </w:p>
  </w:footnote>
  <w:footnote w:id="4">
    <w:p w14:paraId="2B6BC723">
      <w:pPr>
        <w:keepNext w:val="0"/>
        <w:keepLines w:val="0"/>
        <w:pageBreakBefore w:val="0"/>
        <w:widowControl w:val="0"/>
        <w:kinsoku/>
        <w:wordWrap/>
        <w:overflowPunct/>
        <w:topLinePunct w:val="0"/>
        <w:autoSpaceDE/>
        <w:autoSpaceDN/>
        <w:bidi w:val="0"/>
        <w:adjustRightInd/>
        <w:snapToGrid/>
        <w:spacing w:line="240" w:lineRule="exact"/>
        <w:jc w:val="both"/>
        <w:textAlignment w:val="auto"/>
        <w:rPr>
          <w:rFonts w:hint="eastAsia" w:ascii="宋体" w:hAnsi="宋体" w:eastAsia="宋体" w:cs="宋体"/>
          <w:kern w:val="0"/>
          <w:sz w:val="18"/>
          <w:szCs w:val="18"/>
          <w:shd w:val="clear" w:color="auto" w:fill="FFFFFF"/>
          <w:lang w:val="en-US" w:eastAsia="zh-CN" w:bidi="ar-SA"/>
        </w:rPr>
      </w:pPr>
      <w:r>
        <w:rPr>
          <w:rFonts w:hint="eastAsia" w:ascii="宋体" w:hAnsi="宋体" w:eastAsia="宋体" w:cs="宋体"/>
          <w:kern w:val="0"/>
          <w:sz w:val="18"/>
          <w:szCs w:val="18"/>
          <w:shd w:val="clear" w:color="auto" w:fill="FFFFFF"/>
          <w:lang w:val="en-US" w:eastAsia="zh-CN" w:bidi="ar-SA"/>
        </w:rPr>
        <w:t>[</w:t>
      </w:r>
      <w:r>
        <w:rPr>
          <w:rFonts w:hint="eastAsia" w:ascii="宋体" w:hAnsi="宋体" w:eastAsia="宋体" w:cs="宋体"/>
          <w:kern w:val="0"/>
          <w:sz w:val="18"/>
          <w:szCs w:val="18"/>
          <w:shd w:val="clear" w:color="auto" w:fill="FFFFFF"/>
          <w:lang w:val="en-US" w:eastAsia="zh-CN" w:bidi="ar-SA"/>
        </w:rPr>
        <w:footnoteRef/>
      </w:r>
      <w:r>
        <w:rPr>
          <w:rFonts w:hint="eastAsia" w:ascii="宋体" w:hAnsi="宋体" w:eastAsia="宋体" w:cs="宋体"/>
          <w:kern w:val="0"/>
          <w:sz w:val="18"/>
          <w:szCs w:val="18"/>
          <w:shd w:val="clear" w:color="auto" w:fill="FFFFFF"/>
          <w:lang w:val="en-US" w:eastAsia="zh-CN" w:bidi="ar-SA"/>
        </w:rPr>
        <w:t>] 《生产安全事故罚款处罚规</w:t>
      </w:r>
      <w:r>
        <w:rPr>
          <w:rFonts w:hint="default" w:ascii="宋体" w:hAnsi="宋体" w:eastAsia="宋体" w:cs="宋体"/>
          <w:kern w:val="0"/>
          <w:sz w:val="18"/>
          <w:szCs w:val="18"/>
          <w:shd w:val="clear" w:color="auto" w:fill="FFFFFF"/>
          <w:lang w:val="en-US" w:eastAsia="zh-CN" w:bidi="ar-SA"/>
        </w:rPr>
        <w:t>定》第十四条</w:t>
      </w:r>
      <w:r>
        <w:rPr>
          <w:rFonts w:hint="eastAsia" w:ascii="宋体" w:hAnsi="宋体" w:eastAsia="宋体" w:cs="宋体"/>
          <w:kern w:val="0"/>
          <w:sz w:val="18"/>
          <w:szCs w:val="18"/>
          <w:shd w:val="clear" w:color="auto" w:fill="FFFFFF"/>
          <w:lang w:val="en-US" w:eastAsia="zh-CN" w:bidi="ar-SA"/>
        </w:rPr>
        <w:t xml:space="preserve"> </w:t>
      </w:r>
      <w:r>
        <w:rPr>
          <w:rFonts w:hint="default" w:ascii="宋体" w:hAnsi="宋体" w:eastAsia="宋体" w:cs="宋体"/>
          <w:kern w:val="0"/>
          <w:sz w:val="18"/>
          <w:szCs w:val="18"/>
          <w:shd w:val="clear" w:color="auto" w:fill="FFFFFF"/>
          <w:lang w:val="en-US" w:eastAsia="zh-CN" w:bidi="ar-SA"/>
        </w:rPr>
        <w:t>事故发生单位对一般事故负有责任的，依照下列规定处以罚款：（二）造成1人死亡，或者3人以上6人以下重伤，或者300万元以上500万元以下直接经济损失的，处50万元以上70万元以下的罚款。</w:t>
      </w:r>
    </w:p>
  </w:footnote>
  <w:footnote w:id="5">
    <w:p w14:paraId="3DEB3A58">
      <w:pPr>
        <w:keepNext w:val="0"/>
        <w:keepLines w:val="0"/>
        <w:pageBreakBefore w:val="0"/>
        <w:widowControl w:val="0"/>
        <w:kinsoku/>
        <w:wordWrap/>
        <w:overflowPunct/>
        <w:topLinePunct w:val="0"/>
        <w:autoSpaceDE/>
        <w:autoSpaceDN/>
        <w:bidi w:val="0"/>
        <w:adjustRightInd/>
        <w:snapToGrid/>
        <w:spacing w:line="240" w:lineRule="exact"/>
        <w:jc w:val="both"/>
        <w:textAlignment w:val="auto"/>
        <w:rPr>
          <w:rFonts w:hint="eastAsia" w:ascii="宋体" w:hAnsi="宋体" w:eastAsia="宋体" w:cs="宋体"/>
          <w:kern w:val="0"/>
          <w:sz w:val="18"/>
          <w:szCs w:val="18"/>
          <w:shd w:val="clear" w:color="auto" w:fill="FFFFFF"/>
          <w:lang w:val="en-US" w:eastAsia="zh-CN" w:bidi="ar-SA"/>
        </w:rPr>
      </w:pPr>
      <w:r>
        <w:rPr>
          <w:rFonts w:hint="eastAsia" w:ascii="宋体" w:hAnsi="宋体" w:eastAsia="宋体" w:cs="宋体"/>
          <w:kern w:val="0"/>
          <w:sz w:val="18"/>
          <w:szCs w:val="18"/>
          <w:shd w:val="clear" w:color="auto" w:fill="FFFFFF"/>
          <w:lang w:val="en-US" w:eastAsia="zh-CN" w:bidi="ar-SA"/>
        </w:rPr>
        <w:t>[</w:t>
      </w:r>
      <w:r>
        <w:rPr>
          <w:rFonts w:hint="eastAsia" w:ascii="宋体" w:hAnsi="宋体" w:eastAsia="宋体" w:cs="宋体"/>
          <w:kern w:val="0"/>
          <w:sz w:val="18"/>
          <w:szCs w:val="18"/>
          <w:shd w:val="clear" w:color="auto" w:fill="FFFFFF"/>
          <w:lang w:val="en-US" w:eastAsia="zh-CN" w:bidi="ar-SA"/>
        </w:rPr>
        <w:footnoteRef/>
      </w:r>
      <w:r>
        <w:rPr>
          <w:rFonts w:hint="eastAsia" w:ascii="宋体" w:hAnsi="宋体" w:eastAsia="宋体" w:cs="宋体"/>
          <w:kern w:val="0"/>
          <w:sz w:val="18"/>
          <w:szCs w:val="18"/>
          <w:shd w:val="clear" w:color="auto" w:fill="FFFFFF"/>
          <w:lang w:val="en-US" w:eastAsia="zh-CN" w:bidi="ar-SA"/>
        </w:rPr>
        <w:t xml:space="preserve">] 《中华人民共和国安全生产法》第二十一条 </w:t>
      </w:r>
      <w:r>
        <w:rPr>
          <w:rFonts w:hint="default" w:ascii="宋体" w:hAnsi="宋体" w:eastAsia="宋体" w:cs="宋体"/>
          <w:kern w:val="0"/>
          <w:sz w:val="18"/>
          <w:szCs w:val="18"/>
          <w:shd w:val="clear" w:color="auto" w:fill="FFFFFF"/>
          <w:lang w:val="en-US" w:eastAsia="zh-CN" w:bidi="ar-SA"/>
        </w:rPr>
        <w:t>生产经营单位的主要负责人对本单位安全生产工作负有下列职责：</w:t>
      </w:r>
      <w:r>
        <w:rPr>
          <w:rFonts w:hint="eastAsia" w:ascii="宋体" w:hAnsi="宋体" w:eastAsia="宋体" w:cs="宋体"/>
          <w:kern w:val="0"/>
          <w:sz w:val="18"/>
          <w:szCs w:val="18"/>
          <w:shd w:val="clear" w:color="auto" w:fill="FFFFFF"/>
          <w:lang w:val="en-US" w:eastAsia="zh-CN" w:bidi="ar-SA"/>
        </w:rPr>
        <w:t>（二）组织制定并实施本单位安全生产规章制度和操作规程；（五）组织建立并落实安全风险分级管控和隐患排查治理双重预防工作机制，督促、检查本单位的安全生产工作，及时消除生产安全事故隐患。</w:t>
      </w:r>
    </w:p>
  </w:footnote>
  <w:footnote w:id="6">
    <w:p w14:paraId="57690703">
      <w:pPr>
        <w:keepNext w:val="0"/>
        <w:keepLines w:val="0"/>
        <w:pageBreakBefore w:val="0"/>
        <w:widowControl w:val="0"/>
        <w:kinsoku/>
        <w:wordWrap/>
        <w:overflowPunct/>
        <w:topLinePunct w:val="0"/>
        <w:autoSpaceDE/>
        <w:autoSpaceDN/>
        <w:bidi w:val="0"/>
        <w:adjustRightInd/>
        <w:snapToGrid/>
        <w:spacing w:line="240" w:lineRule="exact"/>
        <w:jc w:val="both"/>
        <w:textAlignment w:val="auto"/>
        <w:rPr>
          <w:rFonts w:hint="eastAsia" w:ascii="宋体" w:hAnsi="宋体" w:eastAsia="宋体" w:cs="宋体"/>
          <w:kern w:val="0"/>
          <w:sz w:val="18"/>
          <w:szCs w:val="18"/>
          <w:shd w:val="clear" w:color="auto" w:fill="FFFFFF"/>
          <w:lang w:val="en-US" w:eastAsia="zh-CN" w:bidi="ar-SA"/>
        </w:rPr>
      </w:pPr>
      <w:r>
        <w:rPr>
          <w:rFonts w:hint="eastAsia" w:ascii="宋体" w:hAnsi="宋体" w:eastAsia="宋体" w:cs="宋体"/>
          <w:kern w:val="0"/>
          <w:sz w:val="18"/>
          <w:szCs w:val="18"/>
          <w:shd w:val="clear" w:color="auto" w:fill="FFFFFF"/>
          <w:lang w:val="en-US" w:eastAsia="zh-CN" w:bidi="ar-SA"/>
        </w:rPr>
        <w:t>[</w:t>
      </w:r>
      <w:r>
        <w:rPr>
          <w:rFonts w:hint="eastAsia" w:ascii="宋体" w:hAnsi="宋体" w:eastAsia="宋体" w:cs="宋体"/>
          <w:kern w:val="0"/>
          <w:sz w:val="18"/>
          <w:szCs w:val="18"/>
          <w:shd w:val="clear" w:color="auto" w:fill="FFFFFF"/>
          <w:lang w:val="en-US" w:eastAsia="zh-CN" w:bidi="ar-SA"/>
        </w:rPr>
        <w:footnoteRef/>
      </w:r>
      <w:r>
        <w:rPr>
          <w:rFonts w:hint="eastAsia" w:ascii="宋体" w:hAnsi="宋体" w:eastAsia="宋体" w:cs="宋体"/>
          <w:kern w:val="0"/>
          <w:sz w:val="18"/>
          <w:szCs w:val="18"/>
          <w:shd w:val="clear" w:color="auto" w:fill="FFFFFF"/>
          <w:lang w:val="en-US" w:eastAsia="zh-CN" w:bidi="ar-SA"/>
        </w:rPr>
        <w:t>] 《中华人民共和国安全生产法》第九十五条 生产经营单位的主要负责人未履行本法规定的安全生产管理职责，导致发生生产安全事故的，由应急管理部门依照下列规定处以罚款: （一）发生一般事故的，处上一年年收入百分之四十的罚款。</w:t>
      </w:r>
    </w:p>
  </w:footnote>
  <w:footnote w:id="7">
    <w:p w14:paraId="029F8161">
      <w:pPr>
        <w:keepNext w:val="0"/>
        <w:keepLines w:val="0"/>
        <w:pageBreakBefore w:val="0"/>
        <w:widowControl w:val="0"/>
        <w:kinsoku/>
        <w:wordWrap/>
        <w:overflowPunct/>
        <w:topLinePunct w:val="0"/>
        <w:autoSpaceDE/>
        <w:autoSpaceDN/>
        <w:bidi w:val="0"/>
        <w:adjustRightInd/>
        <w:snapToGrid/>
        <w:spacing w:line="240" w:lineRule="exact"/>
        <w:jc w:val="both"/>
        <w:textAlignment w:val="auto"/>
        <w:rPr>
          <w:rFonts w:hint="eastAsia" w:ascii="宋体" w:hAnsi="宋体" w:eastAsia="宋体" w:cs="宋体"/>
          <w:kern w:val="0"/>
          <w:sz w:val="18"/>
          <w:szCs w:val="18"/>
          <w:shd w:val="clear" w:color="auto" w:fill="FFFFFF"/>
          <w:lang w:val="en-US" w:eastAsia="zh-CN" w:bidi="ar-SA"/>
        </w:rPr>
      </w:pPr>
      <w:r>
        <w:rPr>
          <w:rFonts w:hint="eastAsia" w:ascii="宋体" w:hAnsi="宋体" w:eastAsia="宋体" w:cs="宋体"/>
          <w:kern w:val="0"/>
          <w:sz w:val="18"/>
          <w:szCs w:val="18"/>
          <w:shd w:val="clear" w:color="auto" w:fill="FFFFFF"/>
          <w:lang w:val="en-US" w:eastAsia="zh-CN" w:bidi="ar-SA"/>
        </w:rPr>
        <w:t>[</w:t>
      </w:r>
      <w:r>
        <w:rPr>
          <w:rFonts w:hint="eastAsia" w:ascii="宋体" w:hAnsi="宋体" w:eastAsia="宋体" w:cs="宋体"/>
          <w:kern w:val="0"/>
          <w:sz w:val="18"/>
          <w:szCs w:val="18"/>
          <w:shd w:val="clear" w:color="auto" w:fill="FFFFFF"/>
          <w:lang w:val="en-US" w:eastAsia="zh-CN" w:bidi="ar-SA"/>
        </w:rPr>
        <w:footnoteRef/>
      </w:r>
      <w:r>
        <w:rPr>
          <w:rFonts w:hint="eastAsia" w:ascii="宋体" w:hAnsi="宋体" w:eastAsia="宋体" w:cs="宋体"/>
          <w:kern w:val="0"/>
          <w:sz w:val="18"/>
          <w:szCs w:val="18"/>
          <w:shd w:val="clear" w:color="auto" w:fill="FFFFFF"/>
          <w:lang w:val="en-US" w:eastAsia="zh-CN" w:bidi="ar-SA"/>
        </w:rPr>
        <w:t>] 《中华人民共和国安全生产法》第一百一十条 生产经营单位的主要负责人在本单位发生生产安全事故时，不立即组织抢救或者在事故调查处理期间擅离职守或者逃匿的，给予降级、撤职的处分，并由应急管理部门处上一年年收入百分之六十至百分之一百的罚款；对逃匿的处十五日以下拘留；构成犯罪的，依照刑法有关规定追究刑事责任。生产经营单位的主要负责人对生产安全事故隐瞒不报、谎报或者迟报的，依照前款规定处罚。</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71AD13">
    <w:pPr>
      <w:pStyle w:val="10"/>
      <w:pBdr>
        <w:bottom w:val="none" w:color="auto" w:sz="0" w:space="0"/>
      </w:pBdr>
    </w:pPr>
  </w:p>
  <w:p w14:paraId="677FC110"/>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NotTrackMoves/>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hdrShapeDefaults>
    <o:shapelayout v:ext="edit">
      <o:idmap v:ext="edit" data="3"/>
    </o:shapelayout>
  </w:hdrShapeDefaults>
  <w:footnotePr>
    <w:footnote w:id="16"/>
    <w:footnote w:id="17"/>
  </w:footnotePr>
  <w:compat>
    <w:spaceForUL/>
    <w:balanceSingleByteDoubleByteWidth/>
    <w:doNotLeaveBackslashAlon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BkOTdmYTE2ODNlZjQ4ZTJhYWMwNGVhNzA2MTAzNDAifQ=="/>
  </w:docVars>
  <w:rsids>
    <w:rsidRoot w:val="007B3448"/>
    <w:rsid w:val="000016AF"/>
    <w:rsid w:val="00005AB6"/>
    <w:rsid w:val="000114B9"/>
    <w:rsid w:val="000118AB"/>
    <w:rsid w:val="0001334E"/>
    <w:rsid w:val="000134C6"/>
    <w:rsid w:val="0001583C"/>
    <w:rsid w:val="00017597"/>
    <w:rsid w:val="00022168"/>
    <w:rsid w:val="00022F1E"/>
    <w:rsid w:val="00024DE1"/>
    <w:rsid w:val="0002575D"/>
    <w:rsid w:val="0003040E"/>
    <w:rsid w:val="000313EC"/>
    <w:rsid w:val="000315A4"/>
    <w:rsid w:val="0003194C"/>
    <w:rsid w:val="00033F00"/>
    <w:rsid w:val="00034639"/>
    <w:rsid w:val="0003529C"/>
    <w:rsid w:val="00036FDA"/>
    <w:rsid w:val="000376FE"/>
    <w:rsid w:val="000403D8"/>
    <w:rsid w:val="000420D3"/>
    <w:rsid w:val="00043084"/>
    <w:rsid w:val="000435EC"/>
    <w:rsid w:val="0004372B"/>
    <w:rsid w:val="00047B9B"/>
    <w:rsid w:val="00047ED5"/>
    <w:rsid w:val="00055865"/>
    <w:rsid w:val="00055F09"/>
    <w:rsid w:val="000571E0"/>
    <w:rsid w:val="00060082"/>
    <w:rsid w:val="00060319"/>
    <w:rsid w:val="0006124B"/>
    <w:rsid w:val="00061B86"/>
    <w:rsid w:val="000643AC"/>
    <w:rsid w:val="00064E59"/>
    <w:rsid w:val="00075A59"/>
    <w:rsid w:val="00082613"/>
    <w:rsid w:val="0008533F"/>
    <w:rsid w:val="000867AB"/>
    <w:rsid w:val="00093E11"/>
    <w:rsid w:val="000940BD"/>
    <w:rsid w:val="00094A79"/>
    <w:rsid w:val="00094C3F"/>
    <w:rsid w:val="000961AA"/>
    <w:rsid w:val="00096EB8"/>
    <w:rsid w:val="00097BB6"/>
    <w:rsid w:val="000A0310"/>
    <w:rsid w:val="000A26EB"/>
    <w:rsid w:val="000A2FC9"/>
    <w:rsid w:val="000A3179"/>
    <w:rsid w:val="000A5272"/>
    <w:rsid w:val="000A603B"/>
    <w:rsid w:val="000A7417"/>
    <w:rsid w:val="000B0EA8"/>
    <w:rsid w:val="000B1995"/>
    <w:rsid w:val="000B25F1"/>
    <w:rsid w:val="000B3582"/>
    <w:rsid w:val="000B4721"/>
    <w:rsid w:val="000B7391"/>
    <w:rsid w:val="000C090E"/>
    <w:rsid w:val="000C4023"/>
    <w:rsid w:val="000C457D"/>
    <w:rsid w:val="000C7DF2"/>
    <w:rsid w:val="000E0E8E"/>
    <w:rsid w:val="000E1B57"/>
    <w:rsid w:val="000E327A"/>
    <w:rsid w:val="000E32EB"/>
    <w:rsid w:val="000E52E0"/>
    <w:rsid w:val="000F08A7"/>
    <w:rsid w:val="000F2454"/>
    <w:rsid w:val="000F4B5A"/>
    <w:rsid w:val="000F4C73"/>
    <w:rsid w:val="000F6F77"/>
    <w:rsid w:val="00100B9A"/>
    <w:rsid w:val="00100C55"/>
    <w:rsid w:val="0010156E"/>
    <w:rsid w:val="0010294F"/>
    <w:rsid w:val="001036FF"/>
    <w:rsid w:val="00105ADE"/>
    <w:rsid w:val="00105E6F"/>
    <w:rsid w:val="001069B1"/>
    <w:rsid w:val="00110D2F"/>
    <w:rsid w:val="00112437"/>
    <w:rsid w:val="00113E20"/>
    <w:rsid w:val="00117816"/>
    <w:rsid w:val="00117B5B"/>
    <w:rsid w:val="001201D9"/>
    <w:rsid w:val="00121D35"/>
    <w:rsid w:val="00121F31"/>
    <w:rsid w:val="00124338"/>
    <w:rsid w:val="0012646F"/>
    <w:rsid w:val="00127523"/>
    <w:rsid w:val="00130E7D"/>
    <w:rsid w:val="001313F7"/>
    <w:rsid w:val="00131F37"/>
    <w:rsid w:val="00132066"/>
    <w:rsid w:val="00132F79"/>
    <w:rsid w:val="00133779"/>
    <w:rsid w:val="001345C4"/>
    <w:rsid w:val="00136D43"/>
    <w:rsid w:val="00137934"/>
    <w:rsid w:val="00141898"/>
    <w:rsid w:val="00145312"/>
    <w:rsid w:val="00146969"/>
    <w:rsid w:val="00147123"/>
    <w:rsid w:val="00147710"/>
    <w:rsid w:val="00151D7F"/>
    <w:rsid w:val="0016005E"/>
    <w:rsid w:val="00162CCB"/>
    <w:rsid w:val="001636EA"/>
    <w:rsid w:val="00163CE6"/>
    <w:rsid w:val="0016473F"/>
    <w:rsid w:val="00165000"/>
    <w:rsid w:val="00165994"/>
    <w:rsid w:val="00165CB6"/>
    <w:rsid w:val="0017040B"/>
    <w:rsid w:val="00170B70"/>
    <w:rsid w:val="0017271B"/>
    <w:rsid w:val="0017271F"/>
    <w:rsid w:val="0017550C"/>
    <w:rsid w:val="00181B7D"/>
    <w:rsid w:val="00183418"/>
    <w:rsid w:val="00185397"/>
    <w:rsid w:val="00185F9C"/>
    <w:rsid w:val="001900A0"/>
    <w:rsid w:val="00190D88"/>
    <w:rsid w:val="00191B0F"/>
    <w:rsid w:val="00192608"/>
    <w:rsid w:val="00196CE8"/>
    <w:rsid w:val="001A144A"/>
    <w:rsid w:val="001A2166"/>
    <w:rsid w:val="001A2827"/>
    <w:rsid w:val="001A4114"/>
    <w:rsid w:val="001A5807"/>
    <w:rsid w:val="001A782C"/>
    <w:rsid w:val="001A7D99"/>
    <w:rsid w:val="001B1341"/>
    <w:rsid w:val="001B157D"/>
    <w:rsid w:val="001B2AAB"/>
    <w:rsid w:val="001B3A2D"/>
    <w:rsid w:val="001B3D87"/>
    <w:rsid w:val="001B6CE7"/>
    <w:rsid w:val="001B7031"/>
    <w:rsid w:val="001C0B5D"/>
    <w:rsid w:val="001C3573"/>
    <w:rsid w:val="001C3A5D"/>
    <w:rsid w:val="001C52BB"/>
    <w:rsid w:val="001C6B66"/>
    <w:rsid w:val="001D1862"/>
    <w:rsid w:val="001D1905"/>
    <w:rsid w:val="001D1E8B"/>
    <w:rsid w:val="001D22EE"/>
    <w:rsid w:val="001D36BA"/>
    <w:rsid w:val="001D41F6"/>
    <w:rsid w:val="001D501D"/>
    <w:rsid w:val="001D6DEF"/>
    <w:rsid w:val="001D760B"/>
    <w:rsid w:val="001D7DFE"/>
    <w:rsid w:val="001E3863"/>
    <w:rsid w:val="001E3887"/>
    <w:rsid w:val="001E3AB7"/>
    <w:rsid w:val="001E3D30"/>
    <w:rsid w:val="001E4655"/>
    <w:rsid w:val="001F4936"/>
    <w:rsid w:val="001F7ACE"/>
    <w:rsid w:val="00200C09"/>
    <w:rsid w:val="00201A4B"/>
    <w:rsid w:val="00201CAF"/>
    <w:rsid w:val="002038E7"/>
    <w:rsid w:val="0020409F"/>
    <w:rsid w:val="002073B8"/>
    <w:rsid w:val="0021055E"/>
    <w:rsid w:val="002117AD"/>
    <w:rsid w:val="00211E2D"/>
    <w:rsid w:val="00211F1C"/>
    <w:rsid w:val="002125FC"/>
    <w:rsid w:val="0021285F"/>
    <w:rsid w:val="00213B44"/>
    <w:rsid w:val="0021464F"/>
    <w:rsid w:val="00216451"/>
    <w:rsid w:val="00217CC9"/>
    <w:rsid w:val="00220125"/>
    <w:rsid w:val="002225BB"/>
    <w:rsid w:val="00225FDD"/>
    <w:rsid w:val="002274D9"/>
    <w:rsid w:val="00227BD7"/>
    <w:rsid w:val="00232672"/>
    <w:rsid w:val="00236A3D"/>
    <w:rsid w:val="00240865"/>
    <w:rsid w:val="00240E44"/>
    <w:rsid w:val="00247777"/>
    <w:rsid w:val="00253B2A"/>
    <w:rsid w:val="00255325"/>
    <w:rsid w:val="00256E34"/>
    <w:rsid w:val="002600D8"/>
    <w:rsid w:val="002606DB"/>
    <w:rsid w:val="00260F0B"/>
    <w:rsid w:val="0026259B"/>
    <w:rsid w:val="00265F2B"/>
    <w:rsid w:val="002700E2"/>
    <w:rsid w:val="002718C4"/>
    <w:rsid w:val="00271ABE"/>
    <w:rsid w:val="0028269A"/>
    <w:rsid w:val="00282B04"/>
    <w:rsid w:val="002837E7"/>
    <w:rsid w:val="00283840"/>
    <w:rsid w:val="0028656F"/>
    <w:rsid w:val="0029152F"/>
    <w:rsid w:val="00295775"/>
    <w:rsid w:val="00295CCE"/>
    <w:rsid w:val="002962A7"/>
    <w:rsid w:val="002A07A9"/>
    <w:rsid w:val="002A28AA"/>
    <w:rsid w:val="002A3239"/>
    <w:rsid w:val="002A3FEE"/>
    <w:rsid w:val="002A567D"/>
    <w:rsid w:val="002A68CB"/>
    <w:rsid w:val="002A6DB7"/>
    <w:rsid w:val="002B574B"/>
    <w:rsid w:val="002B6186"/>
    <w:rsid w:val="002B6DFD"/>
    <w:rsid w:val="002B761F"/>
    <w:rsid w:val="002C0447"/>
    <w:rsid w:val="002C612A"/>
    <w:rsid w:val="002C676F"/>
    <w:rsid w:val="002D1DC9"/>
    <w:rsid w:val="002D3CC5"/>
    <w:rsid w:val="002D4112"/>
    <w:rsid w:val="002D5EA2"/>
    <w:rsid w:val="002E2085"/>
    <w:rsid w:val="002E219D"/>
    <w:rsid w:val="002E253C"/>
    <w:rsid w:val="002E426A"/>
    <w:rsid w:val="002E46BF"/>
    <w:rsid w:val="002E665F"/>
    <w:rsid w:val="002E6ABE"/>
    <w:rsid w:val="002F062D"/>
    <w:rsid w:val="002F13FB"/>
    <w:rsid w:val="002F298E"/>
    <w:rsid w:val="002F2E53"/>
    <w:rsid w:val="002F53CE"/>
    <w:rsid w:val="003015C9"/>
    <w:rsid w:val="003039EE"/>
    <w:rsid w:val="00304638"/>
    <w:rsid w:val="00306003"/>
    <w:rsid w:val="00311A5F"/>
    <w:rsid w:val="00311B6E"/>
    <w:rsid w:val="00315BDF"/>
    <w:rsid w:val="0031658C"/>
    <w:rsid w:val="00316C10"/>
    <w:rsid w:val="00320E0E"/>
    <w:rsid w:val="00321076"/>
    <w:rsid w:val="003228B9"/>
    <w:rsid w:val="003233A9"/>
    <w:rsid w:val="00323B41"/>
    <w:rsid w:val="00323D66"/>
    <w:rsid w:val="00325C58"/>
    <w:rsid w:val="00327603"/>
    <w:rsid w:val="00330CD4"/>
    <w:rsid w:val="00331004"/>
    <w:rsid w:val="0033212E"/>
    <w:rsid w:val="003323C7"/>
    <w:rsid w:val="003402D5"/>
    <w:rsid w:val="00341517"/>
    <w:rsid w:val="00342CCD"/>
    <w:rsid w:val="00343C2E"/>
    <w:rsid w:val="0034557C"/>
    <w:rsid w:val="003506E9"/>
    <w:rsid w:val="00352527"/>
    <w:rsid w:val="003545CB"/>
    <w:rsid w:val="00354C97"/>
    <w:rsid w:val="003602D5"/>
    <w:rsid w:val="0036042A"/>
    <w:rsid w:val="00360CE9"/>
    <w:rsid w:val="00362091"/>
    <w:rsid w:val="00364BEF"/>
    <w:rsid w:val="00364CF8"/>
    <w:rsid w:val="003711AA"/>
    <w:rsid w:val="003720C8"/>
    <w:rsid w:val="00372480"/>
    <w:rsid w:val="00373D4E"/>
    <w:rsid w:val="003752B1"/>
    <w:rsid w:val="00377ADA"/>
    <w:rsid w:val="003806F7"/>
    <w:rsid w:val="003815FD"/>
    <w:rsid w:val="00387197"/>
    <w:rsid w:val="00387C92"/>
    <w:rsid w:val="00390D07"/>
    <w:rsid w:val="003939D3"/>
    <w:rsid w:val="0039447B"/>
    <w:rsid w:val="00396265"/>
    <w:rsid w:val="00396C31"/>
    <w:rsid w:val="003975A9"/>
    <w:rsid w:val="0039779B"/>
    <w:rsid w:val="003A0963"/>
    <w:rsid w:val="003A1D58"/>
    <w:rsid w:val="003A37A4"/>
    <w:rsid w:val="003A4DE3"/>
    <w:rsid w:val="003A65D0"/>
    <w:rsid w:val="003A7984"/>
    <w:rsid w:val="003B2AE0"/>
    <w:rsid w:val="003B345C"/>
    <w:rsid w:val="003C13F0"/>
    <w:rsid w:val="003C33A9"/>
    <w:rsid w:val="003C37C0"/>
    <w:rsid w:val="003C5174"/>
    <w:rsid w:val="003C7C27"/>
    <w:rsid w:val="003C7F02"/>
    <w:rsid w:val="003D0A32"/>
    <w:rsid w:val="003D1E38"/>
    <w:rsid w:val="003D1F1D"/>
    <w:rsid w:val="003D35EC"/>
    <w:rsid w:val="003D528E"/>
    <w:rsid w:val="003D6DF6"/>
    <w:rsid w:val="003E224F"/>
    <w:rsid w:val="003E313D"/>
    <w:rsid w:val="003E3AA5"/>
    <w:rsid w:val="003E491B"/>
    <w:rsid w:val="003E5BB2"/>
    <w:rsid w:val="003E6271"/>
    <w:rsid w:val="003E7011"/>
    <w:rsid w:val="003F0853"/>
    <w:rsid w:val="003F1D2E"/>
    <w:rsid w:val="003F4878"/>
    <w:rsid w:val="003F5C33"/>
    <w:rsid w:val="003F78FB"/>
    <w:rsid w:val="004002E1"/>
    <w:rsid w:val="00400957"/>
    <w:rsid w:val="00402F2A"/>
    <w:rsid w:val="00403E26"/>
    <w:rsid w:val="00420161"/>
    <w:rsid w:val="0042124D"/>
    <w:rsid w:val="004247CB"/>
    <w:rsid w:val="0042695B"/>
    <w:rsid w:val="004344C1"/>
    <w:rsid w:val="0043696F"/>
    <w:rsid w:val="00437C27"/>
    <w:rsid w:val="0044086E"/>
    <w:rsid w:val="00443097"/>
    <w:rsid w:val="00447F29"/>
    <w:rsid w:val="004500CA"/>
    <w:rsid w:val="00450E7A"/>
    <w:rsid w:val="0045257A"/>
    <w:rsid w:val="00455722"/>
    <w:rsid w:val="00457F46"/>
    <w:rsid w:val="0046069C"/>
    <w:rsid w:val="00463DCB"/>
    <w:rsid w:val="0046551D"/>
    <w:rsid w:val="00465764"/>
    <w:rsid w:val="00465DD4"/>
    <w:rsid w:val="004701DD"/>
    <w:rsid w:val="00472548"/>
    <w:rsid w:val="00472906"/>
    <w:rsid w:val="00472925"/>
    <w:rsid w:val="00475AB9"/>
    <w:rsid w:val="00477AFC"/>
    <w:rsid w:val="00477C13"/>
    <w:rsid w:val="004816B4"/>
    <w:rsid w:val="00484DA6"/>
    <w:rsid w:val="00486300"/>
    <w:rsid w:val="00486FD2"/>
    <w:rsid w:val="00493548"/>
    <w:rsid w:val="00494592"/>
    <w:rsid w:val="004975BE"/>
    <w:rsid w:val="004A01FB"/>
    <w:rsid w:val="004A6288"/>
    <w:rsid w:val="004A6848"/>
    <w:rsid w:val="004B26BA"/>
    <w:rsid w:val="004B44E1"/>
    <w:rsid w:val="004C2341"/>
    <w:rsid w:val="004C2B7F"/>
    <w:rsid w:val="004C2D93"/>
    <w:rsid w:val="004C69F1"/>
    <w:rsid w:val="004C6C2A"/>
    <w:rsid w:val="004D081C"/>
    <w:rsid w:val="004D0B42"/>
    <w:rsid w:val="004D1C73"/>
    <w:rsid w:val="004D44C3"/>
    <w:rsid w:val="004E232A"/>
    <w:rsid w:val="004E573F"/>
    <w:rsid w:val="004E6B59"/>
    <w:rsid w:val="004E7EE1"/>
    <w:rsid w:val="004F1432"/>
    <w:rsid w:val="004F2A48"/>
    <w:rsid w:val="004F4A61"/>
    <w:rsid w:val="004F68D6"/>
    <w:rsid w:val="00501E09"/>
    <w:rsid w:val="0050308E"/>
    <w:rsid w:val="00503154"/>
    <w:rsid w:val="00510D9B"/>
    <w:rsid w:val="00511858"/>
    <w:rsid w:val="00512F4F"/>
    <w:rsid w:val="0051431D"/>
    <w:rsid w:val="00522248"/>
    <w:rsid w:val="00522FD9"/>
    <w:rsid w:val="00526F71"/>
    <w:rsid w:val="005346AA"/>
    <w:rsid w:val="00535206"/>
    <w:rsid w:val="00537B65"/>
    <w:rsid w:val="00540509"/>
    <w:rsid w:val="00540D96"/>
    <w:rsid w:val="00541DC0"/>
    <w:rsid w:val="00543B38"/>
    <w:rsid w:val="00547ABD"/>
    <w:rsid w:val="0056070F"/>
    <w:rsid w:val="00563726"/>
    <w:rsid w:val="0056403F"/>
    <w:rsid w:val="00565FDC"/>
    <w:rsid w:val="00566392"/>
    <w:rsid w:val="0056642E"/>
    <w:rsid w:val="0057169C"/>
    <w:rsid w:val="005720E8"/>
    <w:rsid w:val="0057625E"/>
    <w:rsid w:val="00580156"/>
    <w:rsid w:val="005812D3"/>
    <w:rsid w:val="005834A3"/>
    <w:rsid w:val="005836C9"/>
    <w:rsid w:val="005908F5"/>
    <w:rsid w:val="005931D8"/>
    <w:rsid w:val="005968C9"/>
    <w:rsid w:val="00596C3E"/>
    <w:rsid w:val="005A0127"/>
    <w:rsid w:val="005A1354"/>
    <w:rsid w:val="005A29D0"/>
    <w:rsid w:val="005A5A70"/>
    <w:rsid w:val="005A5E08"/>
    <w:rsid w:val="005A6744"/>
    <w:rsid w:val="005B0432"/>
    <w:rsid w:val="005B32ED"/>
    <w:rsid w:val="005B3632"/>
    <w:rsid w:val="005B403B"/>
    <w:rsid w:val="005B7D8F"/>
    <w:rsid w:val="005C1BFB"/>
    <w:rsid w:val="005C22F1"/>
    <w:rsid w:val="005C3D3B"/>
    <w:rsid w:val="005C4F5A"/>
    <w:rsid w:val="005C619E"/>
    <w:rsid w:val="005C7942"/>
    <w:rsid w:val="005D1D81"/>
    <w:rsid w:val="005D3D3F"/>
    <w:rsid w:val="005D6276"/>
    <w:rsid w:val="005E18BA"/>
    <w:rsid w:val="005E1DF8"/>
    <w:rsid w:val="005E4931"/>
    <w:rsid w:val="005E537F"/>
    <w:rsid w:val="005F452D"/>
    <w:rsid w:val="005F7AD0"/>
    <w:rsid w:val="00602DB0"/>
    <w:rsid w:val="00603DC8"/>
    <w:rsid w:val="00605CBE"/>
    <w:rsid w:val="00606512"/>
    <w:rsid w:val="006076D7"/>
    <w:rsid w:val="00611BB2"/>
    <w:rsid w:val="00612750"/>
    <w:rsid w:val="00614CC5"/>
    <w:rsid w:val="00615751"/>
    <w:rsid w:val="00616A6E"/>
    <w:rsid w:val="006207E7"/>
    <w:rsid w:val="006244AF"/>
    <w:rsid w:val="00624C0D"/>
    <w:rsid w:val="0063076C"/>
    <w:rsid w:val="00633DE6"/>
    <w:rsid w:val="0063425F"/>
    <w:rsid w:val="006346F2"/>
    <w:rsid w:val="006354C2"/>
    <w:rsid w:val="006354FF"/>
    <w:rsid w:val="006366B5"/>
    <w:rsid w:val="00636CF5"/>
    <w:rsid w:val="00637FCC"/>
    <w:rsid w:val="0064013D"/>
    <w:rsid w:val="006417B3"/>
    <w:rsid w:val="00642FAE"/>
    <w:rsid w:val="006433C6"/>
    <w:rsid w:val="00644D61"/>
    <w:rsid w:val="00650A72"/>
    <w:rsid w:val="00651792"/>
    <w:rsid w:val="0065491C"/>
    <w:rsid w:val="0065646A"/>
    <w:rsid w:val="00662302"/>
    <w:rsid w:val="006626A7"/>
    <w:rsid w:val="00663D4C"/>
    <w:rsid w:val="00665C19"/>
    <w:rsid w:val="006667F2"/>
    <w:rsid w:val="00666DD0"/>
    <w:rsid w:val="0067053D"/>
    <w:rsid w:val="006732DD"/>
    <w:rsid w:val="00673369"/>
    <w:rsid w:val="00673F24"/>
    <w:rsid w:val="006746A9"/>
    <w:rsid w:val="00675796"/>
    <w:rsid w:val="00676CFF"/>
    <w:rsid w:val="00677872"/>
    <w:rsid w:val="00680C24"/>
    <w:rsid w:val="006842EF"/>
    <w:rsid w:val="00684759"/>
    <w:rsid w:val="00685181"/>
    <w:rsid w:val="00687758"/>
    <w:rsid w:val="00690F45"/>
    <w:rsid w:val="00692591"/>
    <w:rsid w:val="00693203"/>
    <w:rsid w:val="00693986"/>
    <w:rsid w:val="0069653D"/>
    <w:rsid w:val="00697394"/>
    <w:rsid w:val="006A07A0"/>
    <w:rsid w:val="006A32BB"/>
    <w:rsid w:val="006A3F6F"/>
    <w:rsid w:val="006A5AF3"/>
    <w:rsid w:val="006A5D36"/>
    <w:rsid w:val="006A6B6D"/>
    <w:rsid w:val="006A711C"/>
    <w:rsid w:val="006B069D"/>
    <w:rsid w:val="006B40B1"/>
    <w:rsid w:val="006C0822"/>
    <w:rsid w:val="006C7574"/>
    <w:rsid w:val="006D00BA"/>
    <w:rsid w:val="006D6451"/>
    <w:rsid w:val="006D7D42"/>
    <w:rsid w:val="006D7FA1"/>
    <w:rsid w:val="006E079B"/>
    <w:rsid w:val="006E3C6A"/>
    <w:rsid w:val="006E45B7"/>
    <w:rsid w:val="006E4A62"/>
    <w:rsid w:val="006E5982"/>
    <w:rsid w:val="006F086F"/>
    <w:rsid w:val="006F13E1"/>
    <w:rsid w:val="006F53D9"/>
    <w:rsid w:val="00700A69"/>
    <w:rsid w:val="00702C9A"/>
    <w:rsid w:val="00702F82"/>
    <w:rsid w:val="007035FE"/>
    <w:rsid w:val="007103EF"/>
    <w:rsid w:val="0071064D"/>
    <w:rsid w:val="00715BE1"/>
    <w:rsid w:val="007174BB"/>
    <w:rsid w:val="00720ADF"/>
    <w:rsid w:val="00723FF4"/>
    <w:rsid w:val="00725234"/>
    <w:rsid w:val="00725454"/>
    <w:rsid w:val="00726120"/>
    <w:rsid w:val="00726763"/>
    <w:rsid w:val="00731EFB"/>
    <w:rsid w:val="00732BF6"/>
    <w:rsid w:val="007335D0"/>
    <w:rsid w:val="00734DA2"/>
    <w:rsid w:val="00736AD9"/>
    <w:rsid w:val="007371B9"/>
    <w:rsid w:val="00740594"/>
    <w:rsid w:val="007426A0"/>
    <w:rsid w:val="007436C7"/>
    <w:rsid w:val="007437DB"/>
    <w:rsid w:val="007439CE"/>
    <w:rsid w:val="00746A1D"/>
    <w:rsid w:val="00747ED7"/>
    <w:rsid w:val="0075008F"/>
    <w:rsid w:val="007501BB"/>
    <w:rsid w:val="0075162E"/>
    <w:rsid w:val="00751E1C"/>
    <w:rsid w:val="00752023"/>
    <w:rsid w:val="007554CC"/>
    <w:rsid w:val="00757310"/>
    <w:rsid w:val="00761543"/>
    <w:rsid w:val="007662E2"/>
    <w:rsid w:val="00766B1D"/>
    <w:rsid w:val="00770552"/>
    <w:rsid w:val="00770D05"/>
    <w:rsid w:val="00771AF6"/>
    <w:rsid w:val="00772EC1"/>
    <w:rsid w:val="007749E8"/>
    <w:rsid w:val="0077568C"/>
    <w:rsid w:val="007767D7"/>
    <w:rsid w:val="007772AF"/>
    <w:rsid w:val="007775C2"/>
    <w:rsid w:val="00777A43"/>
    <w:rsid w:val="00780412"/>
    <w:rsid w:val="007808E6"/>
    <w:rsid w:val="00781F02"/>
    <w:rsid w:val="00783795"/>
    <w:rsid w:val="0078593B"/>
    <w:rsid w:val="00791353"/>
    <w:rsid w:val="007A297F"/>
    <w:rsid w:val="007A331B"/>
    <w:rsid w:val="007A6051"/>
    <w:rsid w:val="007A72CB"/>
    <w:rsid w:val="007A7B89"/>
    <w:rsid w:val="007B17CC"/>
    <w:rsid w:val="007B1CF8"/>
    <w:rsid w:val="007B3448"/>
    <w:rsid w:val="007B4B34"/>
    <w:rsid w:val="007B6714"/>
    <w:rsid w:val="007C0A11"/>
    <w:rsid w:val="007C0FCD"/>
    <w:rsid w:val="007C57BB"/>
    <w:rsid w:val="007C57FF"/>
    <w:rsid w:val="007C717F"/>
    <w:rsid w:val="007D01F1"/>
    <w:rsid w:val="007D63DF"/>
    <w:rsid w:val="007E251F"/>
    <w:rsid w:val="007E2C83"/>
    <w:rsid w:val="007E41F3"/>
    <w:rsid w:val="007E5C07"/>
    <w:rsid w:val="007E7BB8"/>
    <w:rsid w:val="007E7FD8"/>
    <w:rsid w:val="007F1BA4"/>
    <w:rsid w:val="007F35C3"/>
    <w:rsid w:val="007F5AF1"/>
    <w:rsid w:val="007F6A45"/>
    <w:rsid w:val="0080017D"/>
    <w:rsid w:val="008016DF"/>
    <w:rsid w:val="00801B2E"/>
    <w:rsid w:val="0080470E"/>
    <w:rsid w:val="00804D23"/>
    <w:rsid w:val="008050E8"/>
    <w:rsid w:val="0081138E"/>
    <w:rsid w:val="00813375"/>
    <w:rsid w:val="00813653"/>
    <w:rsid w:val="008138AE"/>
    <w:rsid w:val="00817231"/>
    <w:rsid w:val="0081743D"/>
    <w:rsid w:val="00821841"/>
    <w:rsid w:val="00823281"/>
    <w:rsid w:val="00823282"/>
    <w:rsid w:val="0082438E"/>
    <w:rsid w:val="00825AC3"/>
    <w:rsid w:val="00830532"/>
    <w:rsid w:val="008336BB"/>
    <w:rsid w:val="008342E3"/>
    <w:rsid w:val="00841580"/>
    <w:rsid w:val="00843EE5"/>
    <w:rsid w:val="00843FAB"/>
    <w:rsid w:val="0085016E"/>
    <w:rsid w:val="0085033B"/>
    <w:rsid w:val="008552C9"/>
    <w:rsid w:val="008600A8"/>
    <w:rsid w:val="00861617"/>
    <w:rsid w:val="00862A76"/>
    <w:rsid w:val="00863A98"/>
    <w:rsid w:val="00863D1D"/>
    <w:rsid w:val="008647E9"/>
    <w:rsid w:val="008649BC"/>
    <w:rsid w:val="00864E7B"/>
    <w:rsid w:val="008656C9"/>
    <w:rsid w:val="008661BE"/>
    <w:rsid w:val="00866D3B"/>
    <w:rsid w:val="00867663"/>
    <w:rsid w:val="00874D88"/>
    <w:rsid w:val="008755E6"/>
    <w:rsid w:val="00876C9C"/>
    <w:rsid w:val="00876DBA"/>
    <w:rsid w:val="00880DEF"/>
    <w:rsid w:val="00880F8B"/>
    <w:rsid w:val="00882681"/>
    <w:rsid w:val="008830E4"/>
    <w:rsid w:val="00883B73"/>
    <w:rsid w:val="008856EE"/>
    <w:rsid w:val="00887A06"/>
    <w:rsid w:val="00887E2B"/>
    <w:rsid w:val="0089121C"/>
    <w:rsid w:val="00895D3A"/>
    <w:rsid w:val="00896DF3"/>
    <w:rsid w:val="00897049"/>
    <w:rsid w:val="00897A6F"/>
    <w:rsid w:val="008A26BB"/>
    <w:rsid w:val="008A31FD"/>
    <w:rsid w:val="008A4674"/>
    <w:rsid w:val="008A7BB9"/>
    <w:rsid w:val="008B1E0D"/>
    <w:rsid w:val="008B2714"/>
    <w:rsid w:val="008B36B8"/>
    <w:rsid w:val="008B70F7"/>
    <w:rsid w:val="008B7C44"/>
    <w:rsid w:val="008B7D4A"/>
    <w:rsid w:val="008C3695"/>
    <w:rsid w:val="008C58A6"/>
    <w:rsid w:val="008C6212"/>
    <w:rsid w:val="008D0117"/>
    <w:rsid w:val="008D5D7C"/>
    <w:rsid w:val="008E02B3"/>
    <w:rsid w:val="008E532C"/>
    <w:rsid w:val="008E631F"/>
    <w:rsid w:val="008F4580"/>
    <w:rsid w:val="008F53C0"/>
    <w:rsid w:val="008F6772"/>
    <w:rsid w:val="008F6A6C"/>
    <w:rsid w:val="009011CC"/>
    <w:rsid w:val="009035CB"/>
    <w:rsid w:val="00905844"/>
    <w:rsid w:val="009066BD"/>
    <w:rsid w:val="009067DE"/>
    <w:rsid w:val="00912FAC"/>
    <w:rsid w:val="009151FF"/>
    <w:rsid w:val="00915C42"/>
    <w:rsid w:val="00922FF7"/>
    <w:rsid w:val="00924924"/>
    <w:rsid w:val="00925404"/>
    <w:rsid w:val="009303ED"/>
    <w:rsid w:val="009330FE"/>
    <w:rsid w:val="0093663A"/>
    <w:rsid w:val="00940614"/>
    <w:rsid w:val="00941080"/>
    <w:rsid w:val="00945E72"/>
    <w:rsid w:val="009461EE"/>
    <w:rsid w:val="00947D20"/>
    <w:rsid w:val="00951603"/>
    <w:rsid w:val="009516D6"/>
    <w:rsid w:val="00953764"/>
    <w:rsid w:val="00953EA2"/>
    <w:rsid w:val="0095425C"/>
    <w:rsid w:val="00955652"/>
    <w:rsid w:val="00957BD6"/>
    <w:rsid w:val="00960D6B"/>
    <w:rsid w:val="0096207A"/>
    <w:rsid w:val="0096352D"/>
    <w:rsid w:val="009649B5"/>
    <w:rsid w:val="00966E6E"/>
    <w:rsid w:val="00966EE1"/>
    <w:rsid w:val="00967EDD"/>
    <w:rsid w:val="00971592"/>
    <w:rsid w:val="00972F91"/>
    <w:rsid w:val="0097591D"/>
    <w:rsid w:val="0097747E"/>
    <w:rsid w:val="009824BB"/>
    <w:rsid w:val="00982788"/>
    <w:rsid w:val="00985D69"/>
    <w:rsid w:val="00986895"/>
    <w:rsid w:val="009913A2"/>
    <w:rsid w:val="00992695"/>
    <w:rsid w:val="00994BE3"/>
    <w:rsid w:val="009A0114"/>
    <w:rsid w:val="009A0251"/>
    <w:rsid w:val="009A1CF0"/>
    <w:rsid w:val="009A4746"/>
    <w:rsid w:val="009A48C6"/>
    <w:rsid w:val="009A5884"/>
    <w:rsid w:val="009B0617"/>
    <w:rsid w:val="009B06E4"/>
    <w:rsid w:val="009B16DF"/>
    <w:rsid w:val="009B1907"/>
    <w:rsid w:val="009B2ABC"/>
    <w:rsid w:val="009B458B"/>
    <w:rsid w:val="009B4BAB"/>
    <w:rsid w:val="009B4F12"/>
    <w:rsid w:val="009B64AE"/>
    <w:rsid w:val="009C4FB7"/>
    <w:rsid w:val="009C6A00"/>
    <w:rsid w:val="009C75D8"/>
    <w:rsid w:val="009D0C0C"/>
    <w:rsid w:val="009D4542"/>
    <w:rsid w:val="009D5F27"/>
    <w:rsid w:val="009D714C"/>
    <w:rsid w:val="009E05F8"/>
    <w:rsid w:val="009E12C8"/>
    <w:rsid w:val="009E37BD"/>
    <w:rsid w:val="009E4F5A"/>
    <w:rsid w:val="009E6005"/>
    <w:rsid w:val="009E67AE"/>
    <w:rsid w:val="009E6A6E"/>
    <w:rsid w:val="009E6B88"/>
    <w:rsid w:val="009F061C"/>
    <w:rsid w:val="009F189C"/>
    <w:rsid w:val="009F2F30"/>
    <w:rsid w:val="009F5565"/>
    <w:rsid w:val="009F609C"/>
    <w:rsid w:val="009F7FC3"/>
    <w:rsid w:val="00A0012A"/>
    <w:rsid w:val="00A0467E"/>
    <w:rsid w:val="00A04FD1"/>
    <w:rsid w:val="00A1041B"/>
    <w:rsid w:val="00A12686"/>
    <w:rsid w:val="00A12A68"/>
    <w:rsid w:val="00A130DE"/>
    <w:rsid w:val="00A158BB"/>
    <w:rsid w:val="00A16519"/>
    <w:rsid w:val="00A16C77"/>
    <w:rsid w:val="00A21C23"/>
    <w:rsid w:val="00A21CFD"/>
    <w:rsid w:val="00A25D8D"/>
    <w:rsid w:val="00A31CB2"/>
    <w:rsid w:val="00A34EB4"/>
    <w:rsid w:val="00A34EB6"/>
    <w:rsid w:val="00A35EF8"/>
    <w:rsid w:val="00A4179F"/>
    <w:rsid w:val="00A42269"/>
    <w:rsid w:val="00A4294E"/>
    <w:rsid w:val="00A42C16"/>
    <w:rsid w:val="00A44983"/>
    <w:rsid w:val="00A507D3"/>
    <w:rsid w:val="00A528B8"/>
    <w:rsid w:val="00A5419C"/>
    <w:rsid w:val="00A5556A"/>
    <w:rsid w:val="00A65848"/>
    <w:rsid w:val="00A6778F"/>
    <w:rsid w:val="00A7019D"/>
    <w:rsid w:val="00A70F01"/>
    <w:rsid w:val="00A73F54"/>
    <w:rsid w:val="00A774AF"/>
    <w:rsid w:val="00A77918"/>
    <w:rsid w:val="00A849B6"/>
    <w:rsid w:val="00A86B31"/>
    <w:rsid w:val="00A86D79"/>
    <w:rsid w:val="00A87B1C"/>
    <w:rsid w:val="00A945C5"/>
    <w:rsid w:val="00A950CF"/>
    <w:rsid w:val="00A9589B"/>
    <w:rsid w:val="00A965FD"/>
    <w:rsid w:val="00AA4EEB"/>
    <w:rsid w:val="00AA5898"/>
    <w:rsid w:val="00AA62FF"/>
    <w:rsid w:val="00AB3E03"/>
    <w:rsid w:val="00AB5B66"/>
    <w:rsid w:val="00AC36CF"/>
    <w:rsid w:val="00AC5422"/>
    <w:rsid w:val="00AC70D1"/>
    <w:rsid w:val="00AC747E"/>
    <w:rsid w:val="00AD0723"/>
    <w:rsid w:val="00AD0980"/>
    <w:rsid w:val="00AD1EE7"/>
    <w:rsid w:val="00AD2247"/>
    <w:rsid w:val="00AD24BA"/>
    <w:rsid w:val="00AD669D"/>
    <w:rsid w:val="00AE4030"/>
    <w:rsid w:val="00AE4398"/>
    <w:rsid w:val="00AE4450"/>
    <w:rsid w:val="00AE4C06"/>
    <w:rsid w:val="00AE73E4"/>
    <w:rsid w:val="00AF1907"/>
    <w:rsid w:val="00AF6EA6"/>
    <w:rsid w:val="00AF707F"/>
    <w:rsid w:val="00AF77C5"/>
    <w:rsid w:val="00B00A55"/>
    <w:rsid w:val="00B01616"/>
    <w:rsid w:val="00B01C83"/>
    <w:rsid w:val="00B040AA"/>
    <w:rsid w:val="00B12343"/>
    <w:rsid w:val="00B12F28"/>
    <w:rsid w:val="00B1769A"/>
    <w:rsid w:val="00B26846"/>
    <w:rsid w:val="00B311A0"/>
    <w:rsid w:val="00B33F38"/>
    <w:rsid w:val="00B34A8D"/>
    <w:rsid w:val="00B35998"/>
    <w:rsid w:val="00B35F29"/>
    <w:rsid w:val="00B363B0"/>
    <w:rsid w:val="00B3657A"/>
    <w:rsid w:val="00B36B6B"/>
    <w:rsid w:val="00B372CF"/>
    <w:rsid w:val="00B42F81"/>
    <w:rsid w:val="00B44B9F"/>
    <w:rsid w:val="00B45397"/>
    <w:rsid w:val="00B458E8"/>
    <w:rsid w:val="00B4728F"/>
    <w:rsid w:val="00B50AA5"/>
    <w:rsid w:val="00B51670"/>
    <w:rsid w:val="00B53143"/>
    <w:rsid w:val="00B53E27"/>
    <w:rsid w:val="00B53EAB"/>
    <w:rsid w:val="00B552B2"/>
    <w:rsid w:val="00B552C9"/>
    <w:rsid w:val="00B64091"/>
    <w:rsid w:val="00B64D28"/>
    <w:rsid w:val="00B66430"/>
    <w:rsid w:val="00B666CD"/>
    <w:rsid w:val="00B667F4"/>
    <w:rsid w:val="00B706F9"/>
    <w:rsid w:val="00B71008"/>
    <w:rsid w:val="00B720F4"/>
    <w:rsid w:val="00B73067"/>
    <w:rsid w:val="00B743C2"/>
    <w:rsid w:val="00B75B56"/>
    <w:rsid w:val="00B75C91"/>
    <w:rsid w:val="00B75D12"/>
    <w:rsid w:val="00B774C9"/>
    <w:rsid w:val="00B7764B"/>
    <w:rsid w:val="00B804D4"/>
    <w:rsid w:val="00B811DD"/>
    <w:rsid w:val="00B81361"/>
    <w:rsid w:val="00B823D7"/>
    <w:rsid w:val="00B85FF1"/>
    <w:rsid w:val="00B9688D"/>
    <w:rsid w:val="00B96C5B"/>
    <w:rsid w:val="00B97C36"/>
    <w:rsid w:val="00BA1AAC"/>
    <w:rsid w:val="00BA2AD5"/>
    <w:rsid w:val="00BA44D4"/>
    <w:rsid w:val="00BA684B"/>
    <w:rsid w:val="00BB11D8"/>
    <w:rsid w:val="00BB1596"/>
    <w:rsid w:val="00BB36FA"/>
    <w:rsid w:val="00BB4BE7"/>
    <w:rsid w:val="00BC135E"/>
    <w:rsid w:val="00BC1D58"/>
    <w:rsid w:val="00BC4A52"/>
    <w:rsid w:val="00BC4F9E"/>
    <w:rsid w:val="00BC7E8B"/>
    <w:rsid w:val="00BD330C"/>
    <w:rsid w:val="00BD5024"/>
    <w:rsid w:val="00BD68D7"/>
    <w:rsid w:val="00BE553A"/>
    <w:rsid w:val="00BE707D"/>
    <w:rsid w:val="00BF1464"/>
    <w:rsid w:val="00BF218F"/>
    <w:rsid w:val="00C01618"/>
    <w:rsid w:val="00C02C76"/>
    <w:rsid w:val="00C05BDA"/>
    <w:rsid w:val="00C124E4"/>
    <w:rsid w:val="00C16B9B"/>
    <w:rsid w:val="00C17241"/>
    <w:rsid w:val="00C259E6"/>
    <w:rsid w:val="00C276AF"/>
    <w:rsid w:val="00C27993"/>
    <w:rsid w:val="00C279F1"/>
    <w:rsid w:val="00C27E1F"/>
    <w:rsid w:val="00C32F33"/>
    <w:rsid w:val="00C36299"/>
    <w:rsid w:val="00C40F3F"/>
    <w:rsid w:val="00C41E1B"/>
    <w:rsid w:val="00C44852"/>
    <w:rsid w:val="00C458C2"/>
    <w:rsid w:val="00C475F0"/>
    <w:rsid w:val="00C528D4"/>
    <w:rsid w:val="00C547A6"/>
    <w:rsid w:val="00C566D3"/>
    <w:rsid w:val="00C56CE1"/>
    <w:rsid w:val="00C60702"/>
    <w:rsid w:val="00C61B65"/>
    <w:rsid w:val="00C6204C"/>
    <w:rsid w:val="00C63901"/>
    <w:rsid w:val="00C6526B"/>
    <w:rsid w:val="00C6612B"/>
    <w:rsid w:val="00C66685"/>
    <w:rsid w:val="00C774BF"/>
    <w:rsid w:val="00C77DFA"/>
    <w:rsid w:val="00C83711"/>
    <w:rsid w:val="00C83D3B"/>
    <w:rsid w:val="00C84A6A"/>
    <w:rsid w:val="00C9086C"/>
    <w:rsid w:val="00C90C89"/>
    <w:rsid w:val="00C93975"/>
    <w:rsid w:val="00C93AEA"/>
    <w:rsid w:val="00C93E21"/>
    <w:rsid w:val="00C97A2B"/>
    <w:rsid w:val="00C97B70"/>
    <w:rsid w:val="00CA2A09"/>
    <w:rsid w:val="00CA436F"/>
    <w:rsid w:val="00CA55EF"/>
    <w:rsid w:val="00CA656E"/>
    <w:rsid w:val="00CA7AFC"/>
    <w:rsid w:val="00CB14AE"/>
    <w:rsid w:val="00CB22F7"/>
    <w:rsid w:val="00CB598D"/>
    <w:rsid w:val="00CC0DBA"/>
    <w:rsid w:val="00CC159D"/>
    <w:rsid w:val="00CC2B41"/>
    <w:rsid w:val="00CC4033"/>
    <w:rsid w:val="00CC6D1B"/>
    <w:rsid w:val="00CC7584"/>
    <w:rsid w:val="00CC75F1"/>
    <w:rsid w:val="00CD044F"/>
    <w:rsid w:val="00CD065D"/>
    <w:rsid w:val="00CD1734"/>
    <w:rsid w:val="00CD1A82"/>
    <w:rsid w:val="00CD24F5"/>
    <w:rsid w:val="00CD32F3"/>
    <w:rsid w:val="00CD63D2"/>
    <w:rsid w:val="00CE23E5"/>
    <w:rsid w:val="00CE5666"/>
    <w:rsid w:val="00CF23F9"/>
    <w:rsid w:val="00CF7E70"/>
    <w:rsid w:val="00D01A82"/>
    <w:rsid w:val="00D0309B"/>
    <w:rsid w:val="00D1125F"/>
    <w:rsid w:val="00D12C5C"/>
    <w:rsid w:val="00D165E1"/>
    <w:rsid w:val="00D204FD"/>
    <w:rsid w:val="00D23D0E"/>
    <w:rsid w:val="00D24E61"/>
    <w:rsid w:val="00D25DD3"/>
    <w:rsid w:val="00D267C6"/>
    <w:rsid w:val="00D2696B"/>
    <w:rsid w:val="00D26F2C"/>
    <w:rsid w:val="00D358D3"/>
    <w:rsid w:val="00D37C6D"/>
    <w:rsid w:val="00D37D56"/>
    <w:rsid w:val="00D424E4"/>
    <w:rsid w:val="00D43FC9"/>
    <w:rsid w:val="00D4405B"/>
    <w:rsid w:val="00D44465"/>
    <w:rsid w:val="00D50274"/>
    <w:rsid w:val="00D50707"/>
    <w:rsid w:val="00D5136B"/>
    <w:rsid w:val="00D5371C"/>
    <w:rsid w:val="00D54F3F"/>
    <w:rsid w:val="00D56008"/>
    <w:rsid w:val="00D5640B"/>
    <w:rsid w:val="00D5735C"/>
    <w:rsid w:val="00D61835"/>
    <w:rsid w:val="00D6289F"/>
    <w:rsid w:val="00D64532"/>
    <w:rsid w:val="00D6597B"/>
    <w:rsid w:val="00D677F3"/>
    <w:rsid w:val="00D74799"/>
    <w:rsid w:val="00D7563D"/>
    <w:rsid w:val="00D76503"/>
    <w:rsid w:val="00D8106A"/>
    <w:rsid w:val="00D82922"/>
    <w:rsid w:val="00D8482D"/>
    <w:rsid w:val="00D85CB7"/>
    <w:rsid w:val="00D906ED"/>
    <w:rsid w:val="00D92517"/>
    <w:rsid w:val="00D939B8"/>
    <w:rsid w:val="00D9416D"/>
    <w:rsid w:val="00D9767E"/>
    <w:rsid w:val="00DA0004"/>
    <w:rsid w:val="00DA1E19"/>
    <w:rsid w:val="00DA2652"/>
    <w:rsid w:val="00DA2720"/>
    <w:rsid w:val="00DA5091"/>
    <w:rsid w:val="00DA5493"/>
    <w:rsid w:val="00DA5732"/>
    <w:rsid w:val="00DA7A92"/>
    <w:rsid w:val="00DB09FD"/>
    <w:rsid w:val="00DB0C06"/>
    <w:rsid w:val="00DB395C"/>
    <w:rsid w:val="00DB6016"/>
    <w:rsid w:val="00DC2D6E"/>
    <w:rsid w:val="00DC35CE"/>
    <w:rsid w:val="00DC654B"/>
    <w:rsid w:val="00DC6A8B"/>
    <w:rsid w:val="00DC707C"/>
    <w:rsid w:val="00DC76E1"/>
    <w:rsid w:val="00DC7F18"/>
    <w:rsid w:val="00DD334F"/>
    <w:rsid w:val="00DD43C4"/>
    <w:rsid w:val="00DD5325"/>
    <w:rsid w:val="00DD7EFB"/>
    <w:rsid w:val="00DE013F"/>
    <w:rsid w:val="00DE0D43"/>
    <w:rsid w:val="00DE1555"/>
    <w:rsid w:val="00DE36E3"/>
    <w:rsid w:val="00DE3AF4"/>
    <w:rsid w:val="00DE5F30"/>
    <w:rsid w:val="00DE7B6E"/>
    <w:rsid w:val="00DF0A57"/>
    <w:rsid w:val="00DF163B"/>
    <w:rsid w:val="00DF19C5"/>
    <w:rsid w:val="00DF1A51"/>
    <w:rsid w:val="00DF5A78"/>
    <w:rsid w:val="00DF5EAC"/>
    <w:rsid w:val="00DF641E"/>
    <w:rsid w:val="00DF7C25"/>
    <w:rsid w:val="00E00885"/>
    <w:rsid w:val="00E01D50"/>
    <w:rsid w:val="00E14906"/>
    <w:rsid w:val="00E15799"/>
    <w:rsid w:val="00E16C4B"/>
    <w:rsid w:val="00E177D2"/>
    <w:rsid w:val="00E17FCA"/>
    <w:rsid w:val="00E23977"/>
    <w:rsid w:val="00E252D9"/>
    <w:rsid w:val="00E2624E"/>
    <w:rsid w:val="00E265B4"/>
    <w:rsid w:val="00E31EDF"/>
    <w:rsid w:val="00E34561"/>
    <w:rsid w:val="00E36D27"/>
    <w:rsid w:val="00E37128"/>
    <w:rsid w:val="00E404CF"/>
    <w:rsid w:val="00E40794"/>
    <w:rsid w:val="00E41CF2"/>
    <w:rsid w:val="00E42D9C"/>
    <w:rsid w:val="00E4411E"/>
    <w:rsid w:val="00E46417"/>
    <w:rsid w:val="00E46D9B"/>
    <w:rsid w:val="00E46E85"/>
    <w:rsid w:val="00E50B05"/>
    <w:rsid w:val="00E523D3"/>
    <w:rsid w:val="00E549D0"/>
    <w:rsid w:val="00E55397"/>
    <w:rsid w:val="00E55474"/>
    <w:rsid w:val="00E55C8E"/>
    <w:rsid w:val="00E63726"/>
    <w:rsid w:val="00E64B2C"/>
    <w:rsid w:val="00E65335"/>
    <w:rsid w:val="00E70071"/>
    <w:rsid w:val="00E75D5C"/>
    <w:rsid w:val="00E77932"/>
    <w:rsid w:val="00E77ACB"/>
    <w:rsid w:val="00E80D48"/>
    <w:rsid w:val="00E81165"/>
    <w:rsid w:val="00E81204"/>
    <w:rsid w:val="00E82D74"/>
    <w:rsid w:val="00E82F77"/>
    <w:rsid w:val="00E84FB4"/>
    <w:rsid w:val="00E86A00"/>
    <w:rsid w:val="00E870AE"/>
    <w:rsid w:val="00E92E4F"/>
    <w:rsid w:val="00E939CF"/>
    <w:rsid w:val="00E96BE3"/>
    <w:rsid w:val="00E970C7"/>
    <w:rsid w:val="00EA1695"/>
    <w:rsid w:val="00EA51ED"/>
    <w:rsid w:val="00EA778E"/>
    <w:rsid w:val="00EB0315"/>
    <w:rsid w:val="00EB23A7"/>
    <w:rsid w:val="00EB367B"/>
    <w:rsid w:val="00EB49C2"/>
    <w:rsid w:val="00EB5784"/>
    <w:rsid w:val="00EB5AA9"/>
    <w:rsid w:val="00EC158E"/>
    <w:rsid w:val="00EC24EB"/>
    <w:rsid w:val="00EC3EB2"/>
    <w:rsid w:val="00EC5126"/>
    <w:rsid w:val="00EC6161"/>
    <w:rsid w:val="00EC7C0B"/>
    <w:rsid w:val="00ED396F"/>
    <w:rsid w:val="00ED56CF"/>
    <w:rsid w:val="00EE0353"/>
    <w:rsid w:val="00EE0A6D"/>
    <w:rsid w:val="00EE4D09"/>
    <w:rsid w:val="00EE6170"/>
    <w:rsid w:val="00EE778B"/>
    <w:rsid w:val="00EE7839"/>
    <w:rsid w:val="00EF01A6"/>
    <w:rsid w:val="00EF02FD"/>
    <w:rsid w:val="00EF2590"/>
    <w:rsid w:val="00EF27C7"/>
    <w:rsid w:val="00EF2E45"/>
    <w:rsid w:val="00EF37C8"/>
    <w:rsid w:val="00EF3C39"/>
    <w:rsid w:val="00EF3F8B"/>
    <w:rsid w:val="00EF4591"/>
    <w:rsid w:val="00F0147D"/>
    <w:rsid w:val="00F03AD8"/>
    <w:rsid w:val="00F0506E"/>
    <w:rsid w:val="00F05339"/>
    <w:rsid w:val="00F05DA3"/>
    <w:rsid w:val="00F0650B"/>
    <w:rsid w:val="00F10B89"/>
    <w:rsid w:val="00F140CD"/>
    <w:rsid w:val="00F14F10"/>
    <w:rsid w:val="00F15362"/>
    <w:rsid w:val="00F17997"/>
    <w:rsid w:val="00F204FE"/>
    <w:rsid w:val="00F220CC"/>
    <w:rsid w:val="00F234FF"/>
    <w:rsid w:val="00F23D84"/>
    <w:rsid w:val="00F241E8"/>
    <w:rsid w:val="00F243BE"/>
    <w:rsid w:val="00F26D61"/>
    <w:rsid w:val="00F2731E"/>
    <w:rsid w:val="00F3187E"/>
    <w:rsid w:val="00F32A4B"/>
    <w:rsid w:val="00F33928"/>
    <w:rsid w:val="00F3447E"/>
    <w:rsid w:val="00F347BE"/>
    <w:rsid w:val="00F34ABE"/>
    <w:rsid w:val="00F371F1"/>
    <w:rsid w:val="00F4001D"/>
    <w:rsid w:val="00F41381"/>
    <w:rsid w:val="00F44886"/>
    <w:rsid w:val="00F5102E"/>
    <w:rsid w:val="00F51065"/>
    <w:rsid w:val="00F5195E"/>
    <w:rsid w:val="00F52D7D"/>
    <w:rsid w:val="00F54983"/>
    <w:rsid w:val="00F5773B"/>
    <w:rsid w:val="00F57C95"/>
    <w:rsid w:val="00F60734"/>
    <w:rsid w:val="00F60D70"/>
    <w:rsid w:val="00F628C9"/>
    <w:rsid w:val="00F64AE9"/>
    <w:rsid w:val="00F67E39"/>
    <w:rsid w:val="00F709D7"/>
    <w:rsid w:val="00F716D1"/>
    <w:rsid w:val="00F726CA"/>
    <w:rsid w:val="00F75C0D"/>
    <w:rsid w:val="00F76726"/>
    <w:rsid w:val="00F80F8C"/>
    <w:rsid w:val="00F81B62"/>
    <w:rsid w:val="00F82293"/>
    <w:rsid w:val="00F877D0"/>
    <w:rsid w:val="00F91B4C"/>
    <w:rsid w:val="00F926EF"/>
    <w:rsid w:val="00F927D6"/>
    <w:rsid w:val="00F95BF6"/>
    <w:rsid w:val="00FA2128"/>
    <w:rsid w:val="00FA3334"/>
    <w:rsid w:val="00FA545F"/>
    <w:rsid w:val="00FA6EE6"/>
    <w:rsid w:val="00FB445D"/>
    <w:rsid w:val="00FB45D7"/>
    <w:rsid w:val="00FB5E1D"/>
    <w:rsid w:val="00FC1B43"/>
    <w:rsid w:val="00FC47BF"/>
    <w:rsid w:val="00FC54F6"/>
    <w:rsid w:val="00FC6320"/>
    <w:rsid w:val="00FC6CFC"/>
    <w:rsid w:val="00FD1ACB"/>
    <w:rsid w:val="00FD1B6F"/>
    <w:rsid w:val="00FD2391"/>
    <w:rsid w:val="00FD2468"/>
    <w:rsid w:val="00FD5EB8"/>
    <w:rsid w:val="00FE1DB7"/>
    <w:rsid w:val="00FE229B"/>
    <w:rsid w:val="00FE3951"/>
    <w:rsid w:val="00FE42BD"/>
    <w:rsid w:val="00FE568F"/>
    <w:rsid w:val="00FF173D"/>
    <w:rsid w:val="00FF1CFF"/>
    <w:rsid w:val="00FF238B"/>
    <w:rsid w:val="00FF5A3C"/>
    <w:rsid w:val="00FF6F0E"/>
    <w:rsid w:val="00FF7A61"/>
    <w:rsid w:val="01213882"/>
    <w:rsid w:val="0159126E"/>
    <w:rsid w:val="017032A3"/>
    <w:rsid w:val="018362EB"/>
    <w:rsid w:val="018856AF"/>
    <w:rsid w:val="0194674A"/>
    <w:rsid w:val="01B666C0"/>
    <w:rsid w:val="01C56903"/>
    <w:rsid w:val="01F1594A"/>
    <w:rsid w:val="01FE4A55"/>
    <w:rsid w:val="0200793B"/>
    <w:rsid w:val="021148A8"/>
    <w:rsid w:val="02421D02"/>
    <w:rsid w:val="029A7D90"/>
    <w:rsid w:val="02CE17E8"/>
    <w:rsid w:val="02E96621"/>
    <w:rsid w:val="02F70D3E"/>
    <w:rsid w:val="03082F4B"/>
    <w:rsid w:val="032A1114"/>
    <w:rsid w:val="0385459C"/>
    <w:rsid w:val="03884779"/>
    <w:rsid w:val="038F541B"/>
    <w:rsid w:val="03984126"/>
    <w:rsid w:val="03B421F8"/>
    <w:rsid w:val="03B67FC8"/>
    <w:rsid w:val="03E52F6F"/>
    <w:rsid w:val="0438160E"/>
    <w:rsid w:val="043B1FC0"/>
    <w:rsid w:val="04635C6F"/>
    <w:rsid w:val="049A4077"/>
    <w:rsid w:val="04A40A52"/>
    <w:rsid w:val="04AB1DE0"/>
    <w:rsid w:val="04D240FF"/>
    <w:rsid w:val="04F50E2F"/>
    <w:rsid w:val="05290E6D"/>
    <w:rsid w:val="05760640"/>
    <w:rsid w:val="060F19C1"/>
    <w:rsid w:val="0627193B"/>
    <w:rsid w:val="062C2E33"/>
    <w:rsid w:val="0639341C"/>
    <w:rsid w:val="064918B1"/>
    <w:rsid w:val="06515254"/>
    <w:rsid w:val="06533024"/>
    <w:rsid w:val="06891246"/>
    <w:rsid w:val="069074E0"/>
    <w:rsid w:val="069F6C6D"/>
    <w:rsid w:val="06A50AB1"/>
    <w:rsid w:val="06EB2968"/>
    <w:rsid w:val="07506C6F"/>
    <w:rsid w:val="07911761"/>
    <w:rsid w:val="07C1191B"/>
    <w:rsid w:val="07E239BD"/>
    <w:rsid w:val="07E74A05"/>
    <w:rsid w:val="07F25F78"/>
    <w:rsid w:val="07FF7E14"/>
    <w:rsid w:val="084E7652"/>
    <w:rsid w:val="086E1AA3"/>
    <w:rsid w:val="08887E73"/>
    <w:rsid w:val="0911735F"/>
    <w:rsid w:val="09426A4A"/>
    <w:rsid w:val="0946657C"/>
    <w:rsid w:val="09531A76"/>
    <w:rsid w:val="09554A11"/>
    <w:rsid w:val="097E7AC3"/>
    <w:rsid w:val="09B01C47"/>
    <w:rsid w:val="09B216AF"/>
    <w:rsid w:val="09B66A82"/>
    <w:rsid w:val="09BB733E"/>
    <w:rsid w:val="09FB1114"/>
    <w:rsid w:val="0A122902"/>
    <w:rsid w:val="0A140428"/>
    <w:rsid w:val="0A286115"/>
    <w:rsid w:val="0AAB0D8C"/>
    <w:rsid w:val="0AAF1EFF"/>
    <w:rsid w:val="0AF0679F"/>
    <w:rsid w:val="0AFF69E2"/>
    <w:rsid w:val="0B13248D"/>
    <w:rsid w:val="0B2428ED"/>
    <w:rsid w:val="0B3348DE"/>
    <w:rsid w:val="0B3D575C"/>
    <w:rsid w:val="0B7373D0"/>
    <w:rsid w:val="0B772A1C"/>
    <w:rsid w:val="0B7849E6"/>
    <w:rsid w:val="0B8B471A"/>
    <w:rsid w:val="0BA61553"/>
    <w:rsid w:val="0BD0037E"/>
    <w:rsid w:val="0BD47E6F"/>
    <w:rsid w:val="0BE47FFD"/>
    <w:rsid w:val="0C152235"/>
    <w:rsid w:val="0C5B233E"/>
    <w:rsid w:val="0C722FE0"/>
    <w:rsid w:val="0CA534EF"/>
    <w:rsid w:val="0CBD0903"/>
    <w:rsid w:val="0CC665D7"/>
    <w:rsid w:val="0CCE2B10"/>
    <w:rsid w:val="0CE20369"/>
    <w:rsid w:val="0CF34325"/>
    <w:rsid w:val="0CF54541"/>
    <w:rsid w:val="0D3A3C27"/>
    <w:rsid w:val="0D7A146F"/>
    <w:rsid w:val="0D904269"/>
    <w:rsid w:val="0D9773A6"/>
    <w:rsid w:val="0DA35575"/>
    <w:rsid w:val="0DF75C7D"/>
    <w:rsid w:val="0E2F5830"/>
    <w:rsid w:val="0E9E4764"/>
    <w:rsid w:val="0EB61AAE"/>
    <w:rsid w:val="0EBB3568"/>
    <w:rsid w:val="0EC817E1"/>
    <w:rsid w:val="0FAD1102"/>
    <w:rsid w:val="0FDC5544"/>
    <w:rsid w:val="0FFC0435"/>
    <w:rsid w:val="100F5919"/>
    <w:rsid w:val="1041305A"/>
    <w:rsid w:val="10433815"/>
    <w:rsid w:val="105772C0"/>
    <w:rsid w:val="107637D5"/>
    <w:rsid w:val="10855BDB"/>
    <w:rsid w:val="108A1444"/>
    <w:rsid w:val="109202F8"/>
    <w:rsid w:val="10EA3C90"/>
    <w:rsid w:val="11194576"/>
    <w:rsid w:val="11203B56"/>
    <w:rsid w:val="1170063A"/>
    <w:rsid w:val="11B00A36"/>
    <w:rsid w:val="11D0732A"/>
    <w:rsid w:val="12270675"/>
    <w:rsid w:val="122F67F7"/>
    <w:rsid w:val="123F625E"/>
    <w:rsid w:val="12415B32"/>
    <w:rsid w:val="1299596E"/>
    <w:rsid w:val="12A3066C"/>
    <w:rsid w:val="12B44556"/>
    <w:rsid w:val="12C50511"/>
    <w:rsid w:val="12F72695"/>
    <w:rsid w:val="1300779B"/>
    <w:rsid w:val="1324792E"/>
    <w:rsid w:val="137D703E"/>
    <w:rsid w:val="137F2DB6"/>
    <w:rsid w:val="139F5206"/>
    <w:rsid w:val="13A75E69"/>
    <w:rsid w:val="13AA2559"/>
    <w:rsid w:val="13AB3BAB"/>
    <w:rsid w:val="13D072EB"/>
    <w:rsid w:val="13D80718"/>
    <w:rsid w:val="13DD7ADC"/>
    <w:rsid w:val="14165B51"/>
    <w:rsid w:val="142F2C24"/>
    <w:rsid w:val="1444190A"/>
    <w:rsid w:val="14991C55"/>
    <w:rsid w:val="14A32AD4"/>
    <w:rsid w:val="14CF1965"/>
    <w:rsid w:val="14FB2A5F"/>
    <w:rsid w:val="15000310"/>
    <w:rsid w:val="150F3CC6"/>
    <w:rsid w:val="1534197E"/>
    <w:rsid w:val="15A9236C"/>
    <w:rsid w:val="15BC3E0E"/>
    <w:rsid w:val="15C9656A"/>
    <w:rsid w:val="15D07D0B"/>
    <w:rsid w:val="15F01D32"/>
    <w:rsid w:val="163A2FC4"/>
    <w:rsid w:val="165006DF"/>
    <w:rsid w:val="16816E45"/>
    <w:rsid w:val="16A20B69"/>
    <w:rsid w:val="16B014D8"/>
    <w:rsid w:val="16B079F9"/>
    <w:rsid w:val="16B34B25"/>
    <w:rsid w:val="16D01B7A"/>
    <w:rsid w:val="16E66CA8"/>
    <w:rsid w:val="16FC296F"/>
    <w:rsid w:val="17367C2F"/>
    <w:rsid w:val="174C3A48"/>
    <w:rsid w:val="17515952"/>
    <w:rsid w:val="17A10E21"/>
    <w:rsid w:val="17D9680D"/>
    <w:rsid w:val="182B52BA"/>
    <w:rsid w:val="182C2DE0"/>
    <w:rsid w:val="183B1275"/>
    <w:rsid w:val="183B3024"/>
    <w:rsid w:val="185540E5"/>
    <w:rsid w:val="18561C0B"/>
    <w:rsid w:val="185B5474"/>
    <w:rsid w:val="18876269"/>
    <w:rsid w:val="18A577BC"/>
    <w:rsid w:val="18A64941"/>
    <w:rsid w:val="18BF5A03"/>
    <w:rsid w:val="18F733EE"/>
    <w:rsid w:val="192F728A"/>
    <w:rsid w:val="19375EE1"/>
    <w:rsid w:val="1941466A"/>
    <w:rsid w:val="199155F1"/>
    <w:rsid w:val="199649B5"/>
    <w:rsid w:val="19AC242B"/>
    <w:rsid w:val="19C15671"/>
    <w:rsid w:val="19D61256"/>
    <w:rsid w:val="19D92AF4"/>
    <w:rsid w:val="19EC48E7"/>
    <w:rsid w:val="19FB0CBC"/>
    <w:rsid w:val="1A11228E"/>
    <w:rsid w:val="1A381F10"/>
    <w:rsid w:val="1A57517C"/>
    <w:rsid w:val="1AB61021"/>
    <w:rsid w:val="1ABD7B6C"/>
    <w:rsid w:val="1ADA6B24"/>
    <w:rsid w:val="1AE97FE8"/>
    <w:rsid w:val="1B247BCD"/>
    <w:rsid w:val="1B26620D"/>
    <w:rsid w:val="1B6B3C20"/>
    <w:rsid w:val="1B762CF0"/>
    <w:rsid w:val="1B7F71A6"/>
    <w:rsid w:val="1BA84E74"/>
    <w:rsid w:val="1BD143CB"/>
    <w:rsid w:val="1BDB348B"/>
    <w:rsid w:val="1BF105C9"/>
    <w:rsid w:val="1BF14E41"/>
    <w:rsid w:val="1C4306F9"/>
    <w:rsid w:val="1C5D0F59"/>
    <w:rsid w:val="1C632B49"/>
    <w:rsid w:val="1CA4388D"/>
    <w:rsid w:val="1CAE20B1"/>
    <w:rsid w:val="1CBB4733"/>
    <w:rsid w:val="1CD852E5"/>
    <w:rsid w:val="1CE07198"/>
    <w:rsid w:val="1CF00880"/>
    <w:rsid w:val="1D1A7519"/>
    <w:rsid w:val="1D2D73DF"/>
    <w:rsid w:val="1D526E45"/>
    <w:rsid w:val="1DA022A7"/>
    <w:rsid w:val="1DAD3726"/>
    <w:rsid w:val="1DCF0496"/>
    <w:rsid w:val="1DE008F5"/>
    <w:rsid w:val="1DF02ABF"/>
    <w:rsid w:val="1E12625F"/>
    <w:rsid w:val="1E2E1A92"/>
    <w:rsid w:val="1E4470D6"/>
    <w:rsid w:val="1E605592"/>
    <w:rsid w:val="1E6C03DB"/>
    <w:rsid w:val="1E9516DF"/>
    <w:rsid w:val="1E9D0594"/>
    <w:rsid w:val="1EE14925"/>
    <w:rsid w:val="1EEE2B9E"/>
    <w:rsid w:val="1EF174F0"/>
    <w:rsid w:val="1F422EEA"/>
    <w:rsid w:val="1FB75686"/>
    <w:rsid w:val="1FB843E7"/>
    <w:rsid w:val="1FDF698A"/>
    <w:rsid w:val="1FE53EC9"/>
    <w:rsid w:val="204F3B10"/>
    <w:rsid w:val="20AF5F3A"/>
    <w:rsid w:val="20B6593D"/>
    <w:rsid w:val="20CD1665"/>
    <w:rsid w:val="20F052F3"/>
    <w:rsid w:val="21025026"/>
    <w:rsid w:val="210E39CB"/>
    <w:rsid w:val="211A411E"/>
    <w:rsid w:val="21535882"/>
    <w:rsid w:val="21F42BC1"/>
    <w:rsid w:val="21F66939"/>
    <w:rsid w:val="22205764"/>
    <w:rsid w:val="223613C5"/>
    <w:rsid w:val="22602004"/>
    <w:rsid w:val="2269183E"/>
    <w:rsid w:val="22D4654E"/>
    <w:rsid w:val="22F4099F"/>
    <w:rsid w:val="23030973"/>
    <w:rsid w:val="23076924"/>
    <w:rsid w:val="23103A2A"/>
    <w:rsid w:val="2322550C"/>
    <w:rsid w:val="232C0139"/>
    <w:rsid w:val="23767606"/>
    <w:rsid w:val="237C4C1C"/>
    <w:rsid w:val="23BF7E95"/>
    <w:rsid w:val="246F652F"/>
    <w:rsid w:val="24891D0E"/>
    <w:rsid w:val="24A67850"/>
    <w:rsid w:val="24D551FF"/>
    <w:rsid w:val="24E44747"/>
    <w:rsid w:val="24F37160"/>
    <w:rsid w:val="255B1EFD"/>
    <w:rsid w:val="25600899"/>
    <w:rsid w:val="25950217"/>
    <w:rsid w:val="25BC39F6"/>
    <w:rsid w:val="25E42F4C"/>
    <w:rsid w:val="26122A2E"/>
    <w:rsid w:val="26404C6A"/>
    <w:rsid w:val="26844111"/>
    <w:rsid w:val="269E74BF"/>
    <w:rsid w:val="26B75F6B"/>
    <w:rsid w:val="26CD258B"/>
    <w:rsid w:val="26F23447"/>
    <w:rsid w:val="27286E69"/>
    <w:rsid w:val="272C0399"/>
    <w:rsid w:val="273F5F9F"/>
    <w:rsid w:val="275859A0"/>
    <w:rsid w:val="276734B3"/>
    <w:rsid w:val="277F2F2D"/>
    <w:rsid w:val="27816C7E"/>
    <w:rsid w:val="27D8263D"/>
    <w:rsid w:val="27EB2370"/>
    <w:rsid w:val="27F4323D"/>
    <w:rsid w:val="27FC4CAB"/>
    <w:rsid w:val="27FC632B"/>
    <w:rsid w:val="2808425C"/>
    <w:rsid w:val="2826006E"/>
    <w:rsid w:val="284101E2"/>
    <w:rsid w:val="284A6F4A"/>
    <w:rsid w:val="284D4DD9"/>
    <w:rsid w:val="288A7DDB"/>
    <w:rsid w:val="288F53F1"/>
    <w:rsid w:val="28B704A4"/>
    <w:rsid w:val="28E05C4D"/>
    <w:rsid w:val="28E514B5"/>
    <w:rsid w:val="290A4A78"/>
    <w:rsid w:val="29100B9E"/>
    <w:rsid w:val="29180602"/>
    <w:rsid w:val="29453D02"/>
    <w:rsid w:val="29B64C00"/>
    <w:rsid w:val="29E76B67"/>
    <w:rsid w:val="2A005E7B"/>
    <w:rsid w:val="2A1831C5"/>
    <w:rsid w:val="2AB32EED"/>
    <w:rsid w:val="2AF26F65"/>
    <w:rsid w:val="2B065713"/>
    <w:rsid w:val="2B1A4D1A"/>
    <w:rsid w:val="2B381D70"/>
    <w:rsid w:val="2BAC7BFB"/>
    <w:rsid w:val="2BF8505C"/>
    <w:rsid w:val="2C22032B"/>
    <w:rsid w:val="2C4B162F"/>
    <w:rsid w:val="2C545F32"/>
    <w:rsid w:val="2CA945A8"/>
    <w:rsid w:val="2CF27CFD"/>
    <w:rsid w:val="2D0363AE"/>
    <w:rsid w:val="2D0D4B37"/>
    <w:rsid w:val="2D361EE5"/>
    <w:rsid w:val="2D3E2F42"/>
    <w:rsid w:val="2D656721"/>
    <w:rsid w:val="2D6B3436"/>
    <w:rsid w:val="2D880661"/>
    <w:rsid w:val="2E163EBF"/>
    <w:rsid w:val="2E186CA4"/>
    <w:rsid w:val="2E1A575D"/>
    <w:rsid w:val="2E204D3E"/>
    <w:rsid w:val="2E67471B"/>
    <w:rsid w:val="2F3842D0"/>
    <w:rsid w:val="2F430CE4"/>
    <w:rsid w:val="2F6B1FE9"/>
    <w:rsid w:val="2F803DE4"/>
    <w:rsid w:val="2FA53C7A"/>
    <w:rsid w:val="2FAD1DFD"/>
    <w:rsid w:val="2FB67708"/>
    <w:rsid w:val="2FBC2844"/>
    <w:rsid w:val="2FEC3129"/>
    <w:rsid w:val="30241D40"/>
    <w:rsid w:val="305111DE"/>
    <w:rsid w:val="30A25EDE"/>
    <w:rsid w:val="30A56B20"/>
    <w:rsid w:val="30DF2C8E"/>
    <w:rsid w:val="30F027A5"/>
    <w:rsid w:val="30F229C1"/>
    <w:rsid w:val="30F524B2"/>
    <w:rsid w:val="310E5FC1"/>
    <w:rsid w:val="316513E5"/>
    <w:rsid w:val="318F1FBE"/>
    <w:rsid w:val="31BC4D7D"/>
    <w:rsid w:val="31CC4642"/>
    <w:rsid w:val="320209E2"/>
    <w:rsid w:val="320A5AE9"/>
    <w:rsid w:val="321B1AA4"/>
    <w:rsid w:val="32221084"/>
    <w:rsid w:val="32523D98"/>
    <w:rsid w:val="32843AED"/>
    <w:rsid w:val="32894C60"/>
    <w:rsid w:val="328F1215"/>
    <w:rsid w:val="32DA3B36"/>
    <w:rsid w:val="32F26CA9"/>
    <w:rsid w:val="334551AB"/>
    <w:rsid w:val="335E60EC"/>
    <w:rsid w:val="336D0FA8"/>
    <w:rsid w:val="33884F17"/>
    <w:rsid w:val="338B5000"/>
    <w:rsid w:val="33953AD8"/>
    <w:rsid w:val="33A1247D"/>
    <w:rsid w:val="33B0446E"/>
    <w:rsid w:val="33BE6B8B"/>
    <w:rsid w:val="33D26ADA"/>
    <w:rsid w:val="33DE5E34"/>
    <w:rsid w:val="33F3732D"/>
    <w:rsid w:val="341C3E29"/>
    <w:rsid w:val="34256C0A"/>
    <w:rsid w:val="34545741"/>
    <w:rsid w:val="346040E6"/>
    <w:rsid w:val="34650A83"/>
    <w:rsid w:val="34675E29"/>
    <w:rsid w:val="34A51AF9"/>
    <w:rsid w:val="34CA5108"/>
    <w:rsid w:val="351729F7"/>
    <w:rsid w:val="354457B6"/>
    <w:rsid w:val="35651183"/>
    <w:rsid w:val="357E0CC8"/>
    <w:rsid w:val="358B6F41"/>
    <w:rsid w:val="359202CF"/>
    <w:rsid w:val="35BA15D4"/>
    <w:rsid w:val="35C0308E"/>
    <w:rsid w:val="35D023FC"/>
    <w:rsid w:val="35F5260C"/>
    <w:rsid w:val="35FA7C22"/>
    <w:rsid w:val="36080591"/>
    <w:rsid w:val="36266C69"/>
    <w:rsid w:val="368D6CE8"/>
    <w:rsid w:val="36C908B5"/>
    <w:rsid w:val="36D769BB"/>
    <w:rsid w:val="36DE12F2"/>
    <w:rsid w:val="37024FE0"/>
    <w:rsid w:val="371A67CE"/>
    <w:rsid w:val="37690982"/>
    <w:rsid w:val="37721B96"/>
    <w:rsid w:val="37797999"/>
    <w:rsid w:val="377E4FAF"/>
    <w:rsid w:val="37BA3B0D"/>
    <w:rsid w:val="37C4498C"/>
    <w:rsid w:val="382A6589"/>
    <w:rsid w:val="383B5237"/>
    <w:rsid w:val="38563836"/>
    <w:rsid w:val="386A5533"/>
    <w:rsid w:val="388D1222"/>
    <w:rsid w:val="389E51DD"/>
    <w:rsid w:val="38C420A7"/>
    <w:rsid w:val="38E70932"/>
    <w:rsid w:val="38F43068"/>
    <w:rsid w:val="392319BC"/>
    <w:rsid w:val="39292CF8"/>
    <w:rsid w:val="396E1053"/>
    <w:rsid w:val="39AA58F8"/>
    <w:rsid w:val="39C66799"/>
    <w:rsid w:val="39C96289"/>
    <w:rsid w:val="39DC7D6B"/>
    <w:rsid w:val="39F2758E"/>
    <w:rsid w:val="3A1E65D5"/>
    <w:rsid w:val="3A36110A"/>
    <w:rsid w:val="3AB331C1"/>
    <w:rsid w:val="3B1B0D67"/>
    <w:rsid w:val="3B1E43B3"/>
    <w:rsid w:val="3B241DF8"/>
    <w:rsid w:val="3B2F187C"/>
    <w:rsid w:val="3B4E47AF"/>
    <w:rsid w:val="3B6E0E96"/>
    <w:rsid w:val="3B8A1A7E"/>
    <w:rsid w:val="3BBC42F8"/>
    <w:rsid w:val="3BE61375"/>
    <w:rsid w:val="3BE8199E"/>
    <w:rsid w:val="3C0417FB"/>
    <w:rsid w:val="3C495460"/>
    <w:rsid w:val="3C634AA4"/>
    <w:rsid w:val="3C6E4D25"/>
    <w:rsid w:val="3C990195"/>
    <w:rsid w:val="3CD157EA"/>
    <w:rsid w:val="3CE5162C"/>
    <w:rsid w:val="3D037D04"/>
    <w:rsid w:val="3D221248"/>
    <w:rsid w:val="3D3E2AEA"/>
    <w:rsid w:val="3D4070E8"/>
    <w:rsid w:val="3D477BF1"/>
    <w:rsid w:val="3D736C38"/>
    <w:rsid w:val="3D7A7FC6"/>
    <w:rsid w:val="3DBBBA60"/>
    <w:rsid w:val="3DC76F84"/>
    <w:rsid w:val="3E2B7513"/>
    <w:rsid w:val="3E3143FD"/>
    <w:rsid w:val="3E5527E2"/>
    <w:rsid w:val="3E5F540E"/>
    <w:rsid w:val="3E66054B"/>
    <w:rsid w:val="3EC7548D"/>
    <w:rsid w:val="3ED5122D"/>
    <w:rsid w:val="3EEF0540"/>
    <w:rsid w:val="3F057D64"/>
    <w:rsid w:val="3F5860E5"/>
    <w:rsid w:val="3F5D7BA0"/>
    <w:rsid w:val="3FA56E51"/>
    <w:rsid w:val="3FE5CAD1"/>
    <w:rsid w:val="402B37FA"/>
    <w:rsid w:val="404D19C2"/>
    <w:rsid w:val="408B4299"/>
    <w:rsid w:val="40B05AAD"/>
    <w:rsid w:val="417411D1"/>
    <w:rsid w:val="41CF2E5F"/>
    <w:rsid w:val="422B7AE1"/>
    <w:rsid w:val="422C3859"/>
    <w:rsid w:val="42420314"/>
    <w:rsid w:val="42462B6D"/>
    <w:rsid w:val="42AE24C0"/>
    <w:rsid w:val="430D5439"/>
    <w:rsid w:val="43140575"/>
    <w:rsid w:val="436332AB"/>
    <w:rsid w:val="437660C7"/>
    <w:rsid w:val="437C611B"/>
    <w:rsid w:val="43811FD9"/>
    <w:rsid w:val="43A22025"/>
    <w:rsid w:val="43E20674"/>
    <w:rsid w:val="44055BE3"/>
    <w:rsid w:val="44444E8A"/>
    <w:rsid w:val="44A367F1"/>
    <w:rsid w:val="44BC6AA8"/>
    <w:rsid w:val="44CB4183"/>
    <w:rsid w:val="44DB7FE4"/>
    <w:rsid w:val="450308A1"/>
    <w:rsid w:val="451740E4"/>
    <w:rsid w:val="4519611C"/>
    <w:rsid w:val="452803B1"/>
    <w:rsid w:val="452907BC"/>
    <w:rsid w:val="457F1EF2"/>
    <w:rsid w:val="4594599D"/>
    <w:rsid w:val="45CD0EAF"/>
    <w:rsid w:val="45E5269D"/>
    <w:rsid w:val="46173CFA"/>
    <w:rsid w:val="461865CE"/>
    <w:rsid w:val="461C16C9"/>
    <w:rsid w:val="46366A55"/>
    <w:rsid w:val="46431172"/>
    <w:rsid w:val="465D3F9B"/>
    <w:rsid w:val="467858A0"/>
    <w:rsid w:val="468408E6"/>
    <w:rsid w:val="46B01ECC"/>
    <w:rsid w:val="46C67DD9"/>
    <w:rsid w:val="46C87FF5"/>
    <w:rsid w:val="47264D1B"/>
    <w:rsid w:val="47431429"/>
    <w:rsid w:val="4779309D"/>
    <w:rsid w:val="47CB7671"/>
    <w:rsid w:val="47CD312C"/>
    <w:rsid w:val="47D31FCF"/>
    <w:rsid w:val="47D827AB"/>
    <w:rsid w:val="47D97FDF"/>
    <w:rsid w:val="47FC5A7C"/>
    <w:rsid w:val="483B47F6"/>
    <w:rsid w:val="485633DE"/>
    <w:rsid w:val="48566986"/>
    <w:rsid w:val="48592ECE"/>
    <w:rsid w:val="48931F3C"/>
    <w:rsid w:val="489D2DBB"/>
    <w:rsid w:val="48CB1236"/>
    <w:rsid w:val="490431AA"/>
    <w:rsid w:val="49064E04"/>
    <w:rsid w:val="49107A31"/>
    <w:rsid w:val="494F67AB"/>
    <w:rsid w:val="49891591"/>
    <w:rsid w:val="498B70B7"/>
    <w:rsid w:val="49EE57D7"/>
    <w:rsid w:val="4A1E7F2C"/>
    <w:rsid w:val="4A227A1C"/>
    <w:rsid w:val="4A6A6D04"/>
    <w:rsid w:val="4A8F4985"/>
    <w:rsid w:val="4A954692"/>
    <w:rsid w:val="4AE33209"/>
    <w:rsid w:val="4B0836CE"/>
    <w:rsid w:val="4B737D2A"/>
    <w:rsid w:val="4BA821A3"/>
    <w:rsid w:val="4BD765E4"/>
    <w:rsid w:val="4BE17463"/>
    <w:rsid w:val="4C0C5E61"/>
    <w:rsid w:val="4C4D68A6"/>
    <w:rsid w:val="4C5C4D3B"/>
    <w:rsid w:val="4C6C226D"/>
    <w:rsid w:val="4D09021E"/>
    <w:rsid w:val="4D0B0C3B"/>
    <w:rsid w:val="4D241CFD"/>
    <w:rsid w:val="4D2515D1"/>
    <w:rsid w:val="4D317F76"/>
    <w:rsid w:val="4D42484F"/>
    <w:rsid w:val="4D4952BF"/>
    <w:rsid w:val="4DAB7EA5"/>
    <w:rsid w:val="4DB81530"/>
    <w:rsid w:val="4DC1754C"/>
    <w:rsid w:val="4DC25072"/>
    <w:rsid w:val="4DDA060D"/>
    <w:rsid w:val="4E3E294A"/>
    <w:rsid w:val="4E884B66"/>
    <w:rsid w:val="4EF86F9D"/>
    <w:rsid w:val="4F530677"/>
    <w:rsid w:val="4F5F0DCA"/>
    <w:rsid w:val="4FAE58AE"/>
    <w:rsid w:val="4FC6709B"/>
    <w:rsid w:val="4FD33566"/>
    <w:rsid w:val="4FE62753"/>
    <w:rsid w:val="4FE6773D"/>
    <w:rsid w:val="503A5393"/>
    <w:rsid w:val="503C160C"/>
    <w:rsid w:val="504C1B9E"/>
    <w:rsid w:val="506D5769"/>
    <w:rsid w:val="50854860"/>
    <w:rsid w:val="50A770DF"/>
    <w:rsid w:val="50BB4726"/>
    <w:rsid w:val="50BE7D72"/>
    <w:rsid w:val="50EA13B1"/>
    <w:rsid w:val="50F814D6"/>
    <w:rsid w:val="510559A1"/>
    <w:rsid w:val="512A5408"/>
    <w:rsid w:val="51A46F68"/>
    <w:rsid w:val="51D57A6A"/>
    <w:rsid w:val="51F37EF0"/>
    <w:rsid w:val="52021EE1"/>
    <w:rsid w:val="52651758"/>
    <w:rsid w:val="52C33D66"/>
    <w:rsid w:val="530879CB"/>
    <w:rsid w:val="532D7902"/>
    <w:rsid w:val="532F6B09"/>
    <w:rsid w:val="533F6E7B"/>
    <w:rsid w:val="5359168B"/>
    <w:rsid w:val="537B019D"/>
    <w:rsid w:val="5391176E"/>
    <w:rsid w:val="53982AFD"/>
    <w:rsid w:val="53A019B1"/>
    <w:rsid w:val="53A53FF8"/>
    <w:rsid w:val="53C67592"/>
    <w:rsid w:val="53F51CFD"/>
    <w:rsid w:val="541008E5"/>
    <w:rsid w:val="54336CC9"/>
    <w:rsid w:val="543D5452"/>
    <w:rsid w:val="5441014C"/>
    <w:rsid w:val="54931516"/>
    <w:rsid w:val="549A28A4"/>
    <w:rsid w:val="54AF45A2"/>
    <w:rsid w:val="54D536EF"/>
    <w:rsid w:val="55480552"/>
    <w:rsid w:val="558D41B7"/>
    <w:rsid w:val="55AD03B6"/>
    <w:rsid w:val="56143D1E"/>
    <w:rsid w:val="56755377"/>
    <w:rsid w:val="56903F5F"/>
    <w:rsid w:val="57004346"/>
    <w:rsid w:val="57144B78"/>
    <w:rsid w:val="5726041F"/>
    <w:rsid w:val="573C5E95"/>
    <w:rsid w:val="577C5110"/>
    <w:rsid w:val="57967CD6"/>
    <w:rsid w:val="579D6934"/>
    <w:rsid w:val="57CF0AB7"/>
    <w:rsid w:val="57F81DBC"/>
    <w:rsid w:val="57FA52EC"/>
    <w:rsid w:val="582836A2"/>
    <w:rsid w:val="584A47BA"/>
    <w:rsid w:val="58584F50"/>
    <w:rsid w:val="589C308F"/>
    <w:rsid w:val="58F16C7A"/>
    <w:rsid w:val="59091DA7"/>
    <w:rsid w:val="59205A6E"/>
    <w:rsid w:val="59593DC0"/>
    <w:rsid w:val="597B2CA5"/>
    <w:rsid w:val="59E52814"/>
    <w:rsid w:val="5A2E7D17"/>
    <w:rsid w:val="5A5B2AD6"/>
    <w:rsid w:val="5A7A2F5C"/>
    <w:rsid w:val="5ABD109B"/>
    <w:rsid w:val="5AD3266C"/>
    <w:rsid w:val="5AE12FDB"/>
    <w:rsid w:val="5B1E422F"/>
    <w:rsid w:val="5B2B06FA"/>
    <w:rsid w:val="5B2D6220"/>
    <w:rsid w:val="5B323837"/>
    <w:rsid w:val="5B3A26EB"/>
    <w:rsid w:val="5B60755C"/>
    <w:rsid w:val="5B6F7F56"/>
    <w:rsid w:val="5B8D6CBF"/>
    <w:rsid w:val="5B920779"/>
    <w:rsid w:val="5C3E620B"/>
    <w:rsid w:val="5C7A36E7"/>
    <w:rsid w:val="5C981DBF"/>
    <w:rsid w:val="5CC20C63"/>
    <w:rsid w:val="5D2A2757"/>
    <w:rsid w:val="5D3715D8"/>
    <w:rsid w:val="5D425E6D"/>
    <w:rsid w:val="5D944335"/>
    <w:rsid w:val="5DB93D9B"/>
    <w:rsid w:val="5DBB07E2"/>
    <w:rsid w:val="5DCA5FA9"/>
    <w:rsid w:val="5DDB5030"/>
    <w:rsid w:val="5DE6248C"/>
    <w:rsid w:val="5DF41277"/>
    <w:rsid w:val="5E167440"/>
    <w:rsid w:val="5E343D6A"/>
    <w:rsid w:val="5E4F2952"/>
    <w:rsid w:val="5E4F4700"/>
    <w:rsid w:val="5E547F68"/>
    <w:rsid w:val="5E5B2FBB"/>
    <w:rsid w:val="5E8F0FA0"/>
    <w:rsid w:val="5E9860A7"/>
    <w:rsid w:val="5EA97545"/>
    <w:rsid w:val="5EB97DCB"/>
    <w:rsid w:val="5F1F40D2"/>
    <w:rsid w:val="5F313E05"/>
    <w:rsid w:val="5F4C0C3F"/>
    <w:rsid w:val="5F50072F"/>
    <w:rsid w:val="5F833103"/>
    <w:rsid w:val="5F841C80"/>
    <w:rsid w:val="5FA647F3"/>
    <w:rsid w:val="5FAD7930"/>
    <w:rsid w:val="5FD50C35"/>
    <w:rsid w:val="5FE24921"/>
    <w:rsid w:val="5FEA2932"/>
    <w:rsid w:val="5FF732A1"/>
    <w:rsid w:val="601D2D07"/>
    <w:rsid w:val="603718EF"/>
    <w:rsid w:val="607466A0"/>
    <w:rsid w:val="608E7761"/>
    <w:rsid w:val="60A97045"/>
    <w:rsid w:val="60AF2097"/>
    <w:rsid w:val="60BB607C"/>
    <w:rsid w:val="60CA4511"/>
    <w:rsid w:val="60DD2497"/>
    <w:rsid w:val="610E5FB8"/>
    <w:rsid w:val="61482832"/>
    <w:rsid w:val="614918DA"/>
    <w:rsid w:val="615736B4"/>
    <w:rsid w:val="619D1288"/>
    <w:rsid w:val="61A42FB4"/>
    <w:rsid w:val="61BE4076"/>
    <w:rsid w:val="61ED04B8"/>
    <w:rsid w:val="61F555BE"/>
    <w:rsid w:val="61FC694D"/>
    <w:rsid w:val="62015D11"/>
    <w:rsid w:val="62065A1D"/>
    <w:rsid w:val="621A17A6"/>
    <w:rsid w:val="6232236E"/>
    <w:rsid w:val="62326812"/>
    <w:rsid w:val="623460E6"/>
    <w:rsid w:val="623B7475"/>
    <w:rsid w:val="623C143F"/>
    <w:rsid w:val="629965B2"/>
    <w:rsid w:val="62AC2E0A"/>
    <w:rsid w:val="62D11B87"/>
    <w:rsid w:val="62DF24F6"/>
    <w:rsid w:val="62F6339C"/>
    <w:rsid w:val="639C0744"/>
    <w:rsid w:val="63AB4186"/>
    <w:rsid w:val="63B84AF5"/>
    <w:rsid w:val="63BA6ABF"/>
    <w:rsid w:val="63E8362C"/>
    <w:rsid w:val="64283A29"/>
    <w:rsid w:val="64410F8F"/>
    <w:rsid w:val="64A75ABD"/>
    <w:rsid w:val="64AC465A"/>
    <w:rsid w:val="64B47CB6"/>
    <w:rsid w:val="64F733FB"/>
    <w:rsid w:val="650A6555"/>
    <w:rsid w:val="656071F2"/>
    <w:rsid w:val="657A6506"/>
    <w:rsid w:val="659C2113"/>
    <w:rsid w:val="65BA0ED1"/>
    <w:rsid w:val="65ED4F2A"/>
    <w:rsid w:val="662918B0"/>
    <w:rsid w:val="66522FDF"/>
    <w:rsid w:val="66A15D14"/>
    <w:rsid w:val="67256946"/>
    <w:rsid w:val="6736645D"/>
    <w:rsid w:val="673D77EB"/>
    <w:rsid w:val="677A0A3F"/>
    <w:rsid w:val="677F7E04"/>
    <w:rsid w:val="679F2254"/>
    <w:rsid w:val="67BA52E0"/>
    <w:rsid w:val="67C41CBB"/>
    <w:rsid w:val="67ED1B11"/>
    <w:rsid w:val="67F3434E"/>
    <w:rsid w:val="68263CE8"/>
    <w:rsid w:val="68831B76"/>
    <w:rsid w:val="68866F70"/>
    <w:rsid w:val="688B65D3"/>
    <w:rsid w:val="68AF296B"/>
    <w:rsid w:val="68E1689C"/>
    <w:rsid w:val="68F24605"/>
    <w:rsid w:val="68F44821"/>
    <w:rsid w:val="68F6059A"/>
    <w:rsid w:val="690F51B7"/>
    <w:rsid w:val="69272501"/>
    <w:rsid w:val="692844CB"/>
    <w:rsid w:val="692C5576"/>
    <w:rsid w:val="697348DA"/>
    <w:rsid w:val="6A070584"/>
    <w:rsid w:val="6A220F1A"/>
    <w:rsid w:val="6A4A3798"/>
    <w:rsid w:val="6A535578"/>
    <w:rsid w:val="6B572E46"/>
    <w:rsid w:val="6B5B2936"/>
    <w:rsid w:val="6BD34359"/>
    <w:rsid w:val="6BFF1CFD"/>
    <w:rsid w:val="6C1520FC"/>
    <w:rsid w:val="6C30791F"/>
    <w:rsid w:val="6C382C77"/>
    <w:rsid w:val="6C3B62C3"/>
    <w:rsid w:val="6C6770B8"/>
    <w:rsid w:val="6C7F6C2E"/>
    <w:rsid w:val="6C88775B"/>
    <w:rsid w:val="6C8B724B"/>
    <w:rsid w:val="6CCE55B8"/>
    <w:rsid w:val="6CF22E26"/>
    <w:rsid w:val="6CFC6F46"/>
    <w:rsid w:val="6D0019E7"/>
    <w:rsid w:val="6D192AA9"/>
    <w:rsid w:val="6D212753"/>
    <w:rsid w:val="6D512242"/>
    <w:rsid w:val="6D5B6C1D"/>
    <w:rsid w:val="6D8E6C32"/>
    <w:rsid w:val="6DA305C4"/>
    <w:rsid w:val="6DAE50AD"/>
    <w:rsid w:val="6E1312A6"/>
    <w:rsid w:val="6E3653DD"/>
    <w:rsid w:val="6E531FEA"/>
    <w:rsid w:val="6E535B46"/>
    <w:rsid w:val="6E6A491D"/>
    <w:rsid w:val="6E71421E"/>
    <w:rsid w:val="6EA346F6"/>
    <w:rsid w:val="6EB732A8"/>
    <w:rsid w:val="6EBA7973"/>
    <w:rsid w:val="6EED49C0"/>
    <w:rsid w:val="6F4A6F49"/>
    <w:rsid w:val="6F5002D8"/>
    <w:rsid w:val="6F547DC8"/>
    <w:rsid w:val="6F7246F2"/>
    <w:rsid w:val="702552C0"/>
    <w:rsid w:val="7074353C"/>
    <w:rsid w:val="707B1974"/>
    <w:rsid w:val="70C034B7"/>
    <w:rsid w:val="70C46DB9"/>
    <w:rsid w:val="70D43718"/>
    <w:rsid w:val="713C0B14"/>
    <w:rsid w:val="714C195A"/>
    <w:rsid w:val="717F6C52"/>
    <w:rsid w:val="719170B1"/>
    <w:rsid w:val="71A5490B"/>
    <w:rsid w:val="71AA3CCF"/>
    <w:rsid w:val="71D46F9E"/>
    <w:rsid w:val="71F66F14"/>
    <w:rsid w:val="720C498A"/>
    <w:rsid w:val="722649FF"/>
    <w:rsid w:val="7243144C"/>
    <w:rsid w:val="72563E57"/>
    <w:rsid w:val="728E1843"/>
    <w:rsid w:val="72CE60E3"/>
    <w:rsid w:val="730613D9"/>
    <w:rsid w:val="730A7D6D"/>
    <w:rsid w:val="73597A55"/>
    <w:rsid w:val="7369671C"/>
    <w:rsid w:val="7377177D"/>
    <w:rsid w:val="73D74B24"/>
    <w:rsid w:val="73F44277"/>
    <w:rsid w:val="74065409"/>
    <w:rsid w:val="741B5358"/>
    <w:rsid w:val="74392A0E"/>
    <w:rsid w:val="74D3353D"/>
    <w:rsid w:val="751F49D4"/>
    <w:rsid w:val="75226272"/>
    <w:rsid w:val="753A180E"/>
    <w:rsid w:val="759A5F7F"/>
    <w:rsid w:val="75A373B3"/>
    <w:rsid w:val="75AF5D58"/>
    <w:rsid w:val="75D02172"/>
    <w:rsid w:val="75EB2B08"/>
    <w:rsid w:val="7608190C"/>
    <w:rsid w:val="764F753B"/>
    <w:rsid w:val="766D79C1"/>
    <w:rsid w:val="76933D43"/>
    <w:rsid w:val="76B850D2"/>
    <w:rsid w:val="76FB321F"/>
    <w:rsid w:val="77020109"/>
    <w:rsid w:val="771C1FEB"/>
    <w:rsid w:val="772D7053"/>
    <w:rsid w:val="77397E8B"/>
    <w:rsid w:val="774E77F3"/>
    <w:rsid w:val="776B2153"/>
    <w:rsid w:val="77BA6C36"/>
    <w:rsid w:val="77E31CE9"/>
    <w:rsid w:val="77E617D9"/>
    <w:rsid w:val="780600CD"/>
    <w:rsid w:val="782C7B34"/>
    <w:rsid w:val="782F13D2"/>
    <w:rsid w:val="785E5813"/>
    <w:rsid w:val="788D7EA7"/>
    <w:rsid w:val="78AA0A59"/>
    <w:rsid w:val="78B418D7"/>
    <w:rsid w:val="78EC2E1F"/>
    <w:rsid w:val="78F16688"/>
    <w:rsid w:val="78F56609"/>
    <w:rsid w:val="79372C67"/>
    <w:rsid w:val="797F3C93"/>
    <w:rsid w:val="7A24483B"/>
    <w:rsid w:val="7A293BFF"/>
    <w:rsid w:val="7A3E76AA"/>
    <w:rsid w:val="7A4D1FE3"/>
    <w:rsid w:val="7A633442"/>
    <w:rsid w:val="7A78007C"/>
    <w:rsid w:val="7AA80FC8"/>
    <w:rsid w:val="7AB23BF5"/>
    <w:rsid w:val="7AD16771"/>
    <w:rsid w:val="7AD7365B"/>
    <w:rsid w:val="7AE74BA9"/>
    <w:rsid w:val="7AF03942"/>
    <w:rsid w:val="7B187EFC"/>
    <w:rsid w:val="7B2A5117"/>
    <w:rsid w:val="7B2E5971"/>
    <w:rsid w:val="7B57C0E8"/>
    <w:rsid w:val="7B876E2F"/>
    <w:rsid w:val="7B89704B"/>
    <w:rsid w:val="7B8C6B3B"/>
    <w:rsid w:val="7BB340C8"/>
    <w:rsid w:val="7BE84DC3"/>
    <w:rsid w:val="7BF73FB5"/>
    <w:rsid w:val="7C093CE8"/>
    <w:rsid w:val="7C3A6597"/>
    <w:rsid w:val="7C436D40"/>
    <w:rsid w:val="7C4B4301"/>
    <w:rsid w:val="7C5C650E"/>
    <w:rsid w:val="7D1D2C3A"/>
    <w:rsid w:val="7D3D00ED"/>
    <w:rsid w:val="7D6531A0"/>
    <w:rsid w:val="7D6E474B"/>
    <w:rsid w:val="7DA243F4"/>
    <w:rsid w:val="7DFA4230"/>
    <w:rsid w:val="7E1A21DD"/>
    <w:rsid w:val="7E1A3F8B"/>
    <w:rsid w:val="7E257EF5"/>
    <w:rsid w:val="7E2766A8"/>
    <w:rsid w:val="7E3A462D"/>
    <w:rsid w:val="7E8B30DA"/>
    <w:rsid w:val="7EA47CF8"/>
    <w:rsid w:val="7EC64112"/>
    <w:rsid w:val="7EDC3936"/>
    <w:rsid w:val="7EE60311"/>
    <w:rsid w:val="7EFD87AE"/>
    <w:rsid w:val="7F201A75"/>
    <w:rsid w:val="7F6B51CC"/>
    <w:rsid w:val="7F71407E"/>
    <w:rsid w:val="7F721BA4"/>
    <w:rsid w:val="7F8E2E82"/>
    <w:rsid w:val="7FBE4610"/>
    <w:rsid w:val="7FBF5E6C"/>
    <w:rsid w:val="7FE72592"/>
    <w:rsid w:val="7FEA3E31"/>
    <w:rsid w:val="B77EB5D6"/>
    <w:rsid w:val="D7CF250C"/>
    <w:rsid w:val="E67EBEC4"/>
    <w:rsid w:val="E6DC2CB0"/>
    <w:rsid w:val="EE7F5880"/>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仿宋_GB2312" w:cs="Times New Roman"/>
      <w:kern w:val="2"/>
      <w:sz w:val="32"/>
      <w:lang w:val="en-US" w:eastAsia="zh-CN" w:bidi="ar-SA"/>
    </w:rPr>
  </w:style>
  <w:style w:type="paragraph" w:styleId="2">
    <w:name w:val="heading 1"/>
    <w:basedOn w:val="1"/>
    <w:next w:val="1"/>
    <w:qFormat/>
    <w:uiPriority w:val="0"/>
    <w:pPr>
      <w:spacing w:line="560" w:lineRule="exact"/>
      <w:ind w:firstLine="640" w:firstLineChars="200"/>
      <w:jc w:val="left"/>
      <w:outlineLvl w:val="0"/>
    </w:pPr>
    <w:rPr>
      <w:rFonts w:ascii="黑体" w:hAnsi="黑体" w:eastAsia="黑体" w:cs="黑体"/>
      <w:sz w:val="32"/>
      <w:szCs w:val="32"/>
    </w:rPr>
  </w:style>
  <w:style w:type="paragraph" w:styleId="3">
    <w:name w:val="heading 2"/>
    <w:basedOn w:val="1"/>
    <w:next w:val="1"/>
    <w:unhideWhenUsed/>
    <w:qFormat/>
    <w:uiPriority w:val="0"/>
    <w:pPr>
      <w:keepNext/>
      <w:keepLines/>
      <w:spacing w:beforeLines="0" w:beforeAutospacing="0" w:afterLines="0" w:afterAutospacing="0" w:line="560" w:lineRule="exact"/>
      <w:ind w:firstLine="420" w:firstLineChars="200"/>
      <w:outlineLvl w:val="1"/>
    </w:pPr>
    <w:rPr>
      <w:rFonts w:ascii="Arial" w:hAnsi="Arial" w:eastAsia="楷体"/>
      <w:sz w:val="32"/>
    </w:rPr>
  </w:style>
  <w:style w:type="paragraph" w:styleId="4">
    <w:name w:val="heading 4"/>
    <w:basedOn w:val="1"/>
    <w:next w:val="1"/>
    <w:unhideWhenUsed/>
    <w:qFormat/>
    <w:uiPriority w:val="0"/>
    <w:pPr>
      <w:keepNext/>
      <w:keepLines/>
      <w:spacing w:before="280" w:beforeLines="0" w:beforeAutospacing="0" w:after="290" w:afterLines="0" w:afterAutospacing="0" w:line="372" w:lineRule="auto"/>
      <w:outlineLvl w:val="3"/>
    </w:pPr>
    <w:rPr>
      <w:rFonts w:ascii="Arial" w:hAnsi="Arial" w:eastAsia="黑体"/>
      <w:b/>
      <w:sz w:val="28"/>
    </w:rPr>
  </w:style>
  <w:style w:type="character" w:default="1" w:styleId="16">
    <w:name w:val="Default Paragraph Font"/>
    <w:semiHidden/>
    <w:qFormat/>
    <w:uiPriority w:val="0"/>
  </w:style>
  <w:style w:type="table" w:default="1" w:styleId="15">
    <w:name w:val="Normal Table"/>
    <w:semiHidden/>
    <w:qFormat/>
    <w:uiPriority w:val="0"/>
    <w:tblPr>
      <w:tblCellMar>
        <w:top w:w="0" w:type="dxa"/>
        <w:left w:w="108" w:type="dxa"/>
        <w:bottom w:w="0" w:type="dxa"/>
        <w:right w:w="108" w:type="dxa"/>
      </w:tblCellMar>
    </w:tblPr>
  </w:style>
  <w:style w:type="paragraph" w:styleId="5">
    <w:name w:val="Normal Indent"/>
    <w:basedOn w:val="1"/>
    <w:qFormat/>
    <w:uiPriority w:val="0"/>
    <w:pPr>
      <w:ind w:firstLine="420" w:firstLineChars="200"/>
    </w:pPr>
  </w:style>
  <w:style w:type="paragraph" w:styleId="6">
    <w:name w:val="annotation text"/>
    <w:basedOn w:val="1"/>
    <w:qFormat/>
    <w:uiPriority w:val="0"/>
    <w:pPr>
      <w:jc w:val="left"/>
    </w:pPr>
  </w:style>
  <w:style w:type="paragraph" w:styleId="7">
    <w:name w:val="Date"/>
    <w:basedOn w:val="1"/>
    <w:next w:val="1"/>
    <w:link w:val="21"/>
    <w:qFormat/>
    <w:uiPriority w:val="0"/>
    <w:pPr>
      <w:ind w:left="100" w:leftChars="2500"/>
    </w:pPr>
    <w:rPr>
      <w:kern w:val="0"/>
      <w:sz w:val="20"/>
      <w:lang w:val="zh-CN"/>
    </w:rPr>
  </w:style>
  <w:style w:type="paragraph" w:styleId="8">
    <w:name w:val="Balloon Text"/>
    <w:basedOn w:val="1"/>
    <w:link w:val="25"/>
    <w:qFormat/>
    <w:uiPriority w:val="0"/>
    <w:rPr>
      <w:sz w:val="18"/>
      <w:szCs w:val="18"/>
      <w:lang w:val="zh-CN"/>
    </w:rPr>
  </w:style>
  <w:style w:type="paragraph" w:styleId="9">
    <w:name w:val="footer"/>
    <w:basedOn w:val="1"/>
    <w:link w:val="20"/>
    <w:qFormat/>
    <w:uiPriority w:val="0"/>
    <w:pPr>
      <w:tabs>
        <w:tab w:val="center" w:pos="4153"/>
        <w:tab w:val="right" w:pos="8306"/>
      </w:tabs>
      <w:snapToGrid w:val="0"/>
      <w:jc w:val="left"/>
    </w:pPr>
    <w:rPr>
      <w:kern w:val="0"/>
      <w:sz w:val="18"/>
      <w:szCs w:val="18"/>
      <w:lang w:val="zh-CN"/>
    </w:rPr>
  </w:style>
  <w:style w:type="paragraph" w:styleId="10">
    <w:name w:val="header"/>
    <w:basedOn w:val="1"/>
    <w:link w:val="22"/>
    <w:qFormat/>
    <w:uiPriority w:val="0"/>
    <w:pPr>
      <w:pBdr>
        <w:bottom w:val="single" w:color="auto" w:sz="6" w:space="1"/>
      </w:pBdr>
      <w:tabs>
        <w:tab w:val="center" w:pos="4153"/>
        <w:tab w:val="right" w:pos="8306"/>
      </w:tabs>
      <w:snapToGrid w:val="0"/>
      <w:jc w:val="center"/>
    </w:pPr>
    <w:rPr>
      <w:kern w:val="0"/>
      <w:sz w:val="18"/>
      <w:szCs w:val="18"/>
      <w:lang w:val="zh-CN"/>
    </w:rPr>
  </w:style>
  <w:style w:type="paragraph" w:styleId="11">
    <w:name w:val="toc 1"/>
    <w:basedOn w:val="2"/>
    <w:next w:val="3"/>
    <w:qFormat/>
    <w:uiPriority w:val="0"/>
  </w:style>
  <w:style w:type="paragraph" w:styleId="12">
    <w:name w:val="footnote text"/>
    <w:basedOn w:val="1"/>
    <w:link w:val="26"/>
    <w:qFormat/>
    <w:uiPriority w:val="0"/>
    <w:pPr>
      <w:snapToGrid w:val="0"/>
      <w:jc w:val="left"/>
    </w:pPr>
    <w:rPr>
      <w:sz w:val="18"/>
      <w:szCs w:val="18"/>
    </w:rPr>
  </w:style>
  <w:style w:type="paragraph" w:styleId="13">
    <w:name w:val="toc 2"/>
    <w:basedOn w:val="1"/>
    <w:next w:val="1"/>
    <w:qFormat/>
    <w:uiPriority w:val="0"/>
    <w:pPr>
      <w:ind w:left="420" w:leftChars="200"/>
    </w:pPr>
  </w:style>
  <w:style w:type="paragraph" w:styleId="14">
    <w:name w:val="Normal (Web)"/>
    <w:basedOn w:val="1"/>
    <w:qFormat/>
    <w:uiPriority w:val="0"/>
    <w:pPr>
      <w:spacing w:beforeAutospacing="1" w:afterAutospacing="1"/>
      <w:jc w:val="left"/>
    </w:pPr>
    <w:rPr>
      <w:kern w:val="0"/>
      <w:sz w:val="24"/>
      <w:szCs w:val="24"/>
    </w:rPr>
  </w:style>
  <w:style w:type="character" w:styleId="17">
    <w:name w:val="page number"/>
    <w:qFormat/>
    <w:uiPriority w:val="0"/>
    <w:rPr>
      <w:rFonts w:cs="Times New Roman"/>
    </w:rPr>
  </w:style>
  <w:style w:type="character" w:styleId="18">
    <w:name w:val="footnote reference"/>
    <w:qFormat/>
    <w:uiPriority w:val="0"/>
    <w:rPr>
      <w:vertAlign w:val="superscript"/>
    </w:rPr>
  </w:style>
  <w:style w:type="paragraph" w:customStyle="1" w:styleId="19">
    <w:name w:val="Default"/>
    <w:qFormat/>
    <w:uiPriority w:val="0"/>
    <w:pPr>
      <w:widowControl w:val="0"/>
      <w:autoSpaceDE w:val="0"/>
      <w:autoSpaceDN w:val="0"/>
      <w:adjustRightInd w:val="0"/>
    </w:pPr>
    <w:rPr>
      <w:rFonts w:ascii="方正楷体_GB2312" w:hAnsi="Calibri" w:eastAsia="方正楷体_GB2312" w:cs="方正楷体_GB2312"/>
      <w:color w:val="000000"/>
      <w:sz w:val="24"/>
      <w:szCs w:val="24"/>
      <w:lang w:val="en-US" w:eastAsia="zh-CN" w:bidi="ar-SA"/>
    </w:rPr>
  </w:style>
  <w:style w:type="character" w:customStyle="1" w:styleId="20">
    <w:name w:val="页脚 Char"/>
    <w:link w:val="9"/>
    <w:semiHidden/>
    <w:qFormat/>
    <w:locked/>
    <w:uiPriority w:val="99"/>
    <w:rPr>
      <w:rFonts w:cs="Times New Roman"/>
      <w:sz w:val="18"/>
      <w:szCs w:val="18"/>
    </w:rPr>
  </w:style>
  <w:style w:type="character" w:customStyle="1" w:styleId="21">
    <w:name w:val="日期 Char"/>
    <w:link w:val="7"/>
    <w:semiHidden/>
    <w:qFormat/>
    <w:locked/>
    <w:uiPriority w:val="99"/>
    <w:rPr>
      <w:rFonts w:cs="Times New Roman"/>
      <w:sz w:val="20"/>
      <w:szCs w:val="20"/>
    </w:rPr>
  </w:style>
  <w:style w:type="character" w:customStyle="1" w:styleId="22">
    <w:name w:val="页眉 Char"/>
    <w:link w:val="10"/>
    <w:semiHidden/>
    <w:qFormat/>
    <w:locked/>
    <w:uiPriority w:val="99"/>
    <w:rPr>
      <w:rFonts w:cs="Times New Roman"/>
      <w:sz w:val="18"/>
      <w:szCs w:val="18"/>
    </w:rPr>
  </w:style>
  <w:style w:type="paragraph" w:customStyle="1" w:styleId="23">
    <w:name w:val="p16"/>
    <w:basedOn w:val="1"/>
    <w:qFormat/>
    <w:uiPriority w:val="99"/>
    <w:pPr>
      <w:widowControl/>
    </w:pPr>
    <w:rPr>
      <w:kern w:val="0"/>
      <w:szCs w:val="21"/>
    </w:rPr>
  </w:style>
  <w:style w:type="paragraph" w:customStyle="1" w:styleId="24">
    <w:name w:val="msonormalcxspmiddle"/>
    <w:basedOn w:val="1"/>
    <w:qFormat/>
    <w:uiPriority w:val="0"/>
    <w:pPr>
      <w:widowControl/>
      <w:spacing w:before="100" w:beforeAutospacing="1" w:after="100" w:afterAutospacing="1"/>
      <w:jc w:val="left"/>
    </w:pPr>
    <w:rPr>
      <w:rFonts w:ascii="宋体" w:hAnsi="宋体" w:cs="宋体"/>
      <w:kern w:val="0"/>
      <w:sz w:val="24"/>
      <w:szCs w:val="24"/>
    </w:rPr>
  </w:style>
  <w:style w:type="character" w:customStyle="1" w:styleId="25">
    <w:name w:val="批注框文本 Char"/>
    <w:link w:val="8"/>
    <w:semiHidden/>
    <w:qFormat/>
    <w:uiPriority w:val="99"/>
    <w:rPr>
      <w:kern w:val="2"/>
      <w:sz w:val="18"/>
      <w:szCs w:val="18"/>
    </w:rPr>
  </w:style>
  <w:style w:type="character" w:customStyle="1" w:styleId="26">
    <w:name w:val="脚注文本 Char"/>
    <w:link w:val="12"/>
    <w:qFormat/>
    <w:uiPriority w:val="99"/>
    <w:rPr>
      <w:kern w:val="2"/>
      <w:sz w:val="18"/>
      <w:szCs w:val="18"/>
    </w:rPr>
  </w:style>
  <w:style w:type="paragraph" w:customStyle="1" w:styleId="27">
    <w:name w:val="Normal"/>
    <w:qFormat/>
    <w:uiPriority w:val="0"/>
    <w:pPr>
      <w:jc w:val="both"/>
    </w:pPr>
    <w:rPr>
      <w:rFonts w:ascii="Times New Roman" w:hAnsi="Times New Roman" w:eastAsia="宋体" w:cs="Times New Roman"/>
      <w:kern w:val="2"/>
      <w:sz w:val="21"/>
      <w:szCs w:val="21"/>
      <w:lang w:val="en-US" w:eastAsia="zh-CN" w:bidi="ar-SA"/>
    </w:rPr>
  </w:style>
  <w:style w:type="paragraph" w:customStyle="1" w:styleId="28">
    <w:name w:val="WPSOffice手动目录 1"/>
    <w:qFormat/>
    <w:uiPriority w:val="0"/>
    <w:pPr>
      <w:ind w:leftChars="0"/>
    </w:pPr>
    <w:rPr>
      <w:rFonts w:ascii="Times New Roman" w:hAnsi="Times New Roman" w:eastAsia="宋体" w:cs="Times New Roman"/>
      <w:sz w:val="20"/>
      <w:szCs w:val="20"/>
    </w:rPr>
  </w:style>
  <w:style w:type="paragraph" w:customStyle="1" w:styleId="29">
    <w:name w:val="WPSOffice手动目录 2"/>
    <w:qFormat/>
    <w:uiPriority w:val="0"/>
    <w:pPr>
      <w:ind w:leftChars="200"/>
    </w:pPr>
    <w:rPr>
      <w:rFonts w:ascii="Times New Roman" w:hAnsi="Times New Roman" w:eastAsia="宋体" w:cs="Times New Roman"/>
      <w:sz w:val="20"/>
      <w:szCs w:val="20"/>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1.xml"/><Relationship Id="rId3" Type="http://schemas.openxmlformats.org/officeDocument/2006/relationships/footnotes" Target="footnotes.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customXml" Target="../customXml/item1.xml"/><Relationship Id="rId13" Type="http://schemas.openxmlformats.org/officeDocument/2006/relationships/image" Target="media/image4.jpeg"/><Relationship Id="rId12" Type="http://schemas.openxmlformats.org/officeDocument/2006/relationships/image" Target="media/image3.jpeg"/><Relationship Id="rId11" Type="http://schemas.openxmlformats.org/officeDocument/2006/relationships/image" Target="media/image2.jpeg"/><Relationship Id="rId10" Type="http://schemas.openxmlformats.org/officeDocument/2006/relationships/image" Target="media/image1.jpeg"/><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WWW.YlmF.CoM</Company>
  <Pages>14</Pages>
  <Words>355</Words>
  <Characters>359</Characters>
  <Lines>0</Lines>
  <Paragraphs>0</Paragraphs>
  <TotalTime>9</TotalTime>
  <ScaleCrop>false</ScaleCrop>
  <LinksUpToDate>false</LinksUpToDate>
  <CharactersWithSpaces>470</CharactersWithSpaces>
  <Application>WPS Office_12.1.0.21171_F1E327BC-269C-435d-A152-05C5408002CA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2021-01-09T21:52:00Z</dcterms:created>
  <dc:creator>肖大笨</dc:creator>
  <cp:lastModifiedBy>夏鑫</cp:lastModifiedBy>
  <cp:lastPrinted>2025-04-18T14:24:00Z</cp:lastPrinted>
  <dcterms:modified xsi:type="dcterms:W3CDTF">2025-06-10T02:40:37Z</dcterms:modified>
  <dc:title>关于印发静海县创建全国农村中医药工作先进单位活动实施方案的通知</dc:title>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2052-12.1.0.21171</vt:lpwstr>
  </property>
  <property fmtid="{D5CDD505-2E9C-101B-9397-08002B2CF9AE}" pid="3" name="ICV">
    <vt:lpwstr>E9147D90B51D47088EE1BA87B45DED12_13</vt:lpwstr>
  </property>
  <property fmtid="{D5CDD505-2E9C-101B-9397-08002B2CF9AE}" pid="4" name="KSOTemplateDocerSaveRecord">
    <vt:lpwstr>eyJoZGlkIjoiYzBkOTdmYTE2ODNlZjQ4ZTJhYWMwNGVhNzA2MTAzNDAiLCJ1c2VySWQiOiI1ODk1MTk2MjkifQ==</vt:lpwstr>
  </property>
</Properties>
</file>