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溧阳高新区溧阳市民晖金属材料有限公司“8·5”一般物体打击事故调查报告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来源：溧阳市人民政府　常州市溧阳市·政府信息公开(事故调查)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原文链接：https://www.liyang.gov.cn/html/czly/2025/AQBDAJKB_1209/34289.html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English 繁体版 无障碍浏览</w:t>
      </w:r>
    </w:p>
    <w:p>
      <w:pPr>
        <w:spacing w:line="360" w:lineRule="auto" w:before="60" w:after="60"/>
        <w:ind w:firstLine="480"/>
      </w:pPr>
      •  移动端应用  
      <w:r>
        <w:drawing>
          <wp:inline distT="0" distB="0" distL="0" distR="0">
            <wp:extent cx="89535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政务微信  
      <w:r>
        <w:drawing>
          <wp:inline distT="0" distB="0" distL="0" distR="0">
            <wp:extent cx="895350" cy="8953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政务微博  
      <w:r>
        <w:drawing>
          <wp:inline distT="0" distB="0" distL="0" distR="0">
            <wp:extent cx="1524000" cy="15525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智能问答 </w:t>
      </w:r>
    </w:p>
    <w:p>
      <w:pPr>
        <w:spacing w:line="360" w:lineRule="auto" w:before="60" w:after="60"/>
        <w:ind w:firstLine="480"/>
      </w:pPr>
      <w:r>
        <w:t xml:space="preserve">•  登录个人中心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jpg"/></Relationships>
</file>