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上海涵橙金属有限公司“4·12”一般物体打击事故整改措施落实情况评估报告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原文链接：https://www.fengxian.gov.cn/yjb/aqzt/sggl/20260520/107421.html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抓取时间：2026-10-06</w:t>
      </w:r>
    </w:p>
    <w:p/>
    <w:p>
      <w:pPr>
        <w:pStyle w:val="Heading2"/>
      </w:pPr>
      <w:r>
        <w:t xml:space="preserve">上海涵橙金属有限公司“4·12”一般物体打击事故整改措施落实情况评估报告</w:t>
      </w:r>
    </w:p>
    <w:p>
      <w:pPr>
        <w:spacing w:line="360" w:lineRule="auto" w:before="60" w:after="60"/>
        <w:ind w:firstLine="480"/>
      </w:pPr>
      <w:r>
        <w:t xml:space="preserve">发布时间：2026-03-02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上海涵橙金属有限公司“4·12”一般物体打击事故整改措施落实情况评估报告.pdf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