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金山碳谷绿湾宏扬石化工程有限公司“5·13”一般物体打击事故调查报告 （公开）.pdf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原文链接：https://www.jinshan.gov.cn/zhengwu/yjglj-sgtb/2026/201/9234.html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金山区人民政府关于同意《金山碳谷绿湾宏扬石化工程有限公司“5·13”一般物体打击事故调查报告》的批复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碳谷绿湾宏扬石化工程有限公司“5·13”一般物体打击事故调查处理情况的请示》（金应急〔2026〕20号）收悉。经研究，同意事故调查组《金山碳谷绿湾宏扬石化工程有限公司“5·13”一般物体打击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2026年7月15日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