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相关附件： 金山漕泾邦凯控股集团有限公司“1·20”一般物体打击事故调查报告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原文链接：https://www.jinshan.gov.cn/zhengwu/yjglj-sgtb/2026/114/8263.html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抓取时间：2026-10-06</w:t>
      </w:r>
    </w:p>
    <w:p/>
    <w:p>
      <w:pPr>
        <w:spacing w:line="360" w:lineRule="auto" w:before="60" w:after="60"/>
        <w:ind w:firstLine="480"/>
      </w:pPr>
      <w:r>
        <w:t xml:space="preserve">金山区人民政府关于同意《金山漕泾邦凯控股集团有限公司“1·20”一般物体打击事故调查报告》的批复</w:t>
      </w:r>
    </w:p>
    <w:p>
      <w:pPr>
        <w:spacing w:line="360" w:lineRule="auto" w:before="60" w:after="60"/>
        <w:ind w:firstLine="480"/>
      </w:pPr>
      <w:r>
        <w:t xml:space="preserve">区应急管理局:</w:t>
      </w:r>
    </w:p>
    <w:p>
      <w:pPr>
        <w:spacing w:line="360" w:lineRule="auto" w:before="60" w:after="60"/>
        <w:ind w:firstLine="480"/>
      </w:pPr>
      <w:r>
        <w:t xml:space="preserve">《区应急管理局关于金山漕泾邦凯控股集团有限公司“1·20”一般物体打击事故调查处理情况的请示》（金应急〔2026〕13号）收悉。经研究，同意事故调查组《金山漕泾邦凯控股集团有限公司“1·20”一般物体打击事故调查报告》，请有关部门抓紧落实后续工作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上海市金山区人民政府</w:t>
      </w:r>
    </w:p>
    <w:p>
      <w:pPr>
        <w:spacing w:line="360" w:lineRule="auto" w:before="60" w:after="60"/>
        <w:ind w:firstLine="480"/>
      </w:pPr>
      <w:r>
        <w:t xml:space="preserve">2026年4月16日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