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汕湛高速公路“4·5”一般道路交通事故责任追究和整改措施落实情况评估报告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原文链接：https://www.meizhou.gov.cn/zwgk/zdlyxxgkzl/aqscxx/scaqsgdcbgxx/content/post_2660081.html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汕湛高速公路“4·5”一般道路交通事故责任追究和整改措施落实情况评估报告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时间：2024-06-26 17:04:43 浏览：203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汕湛高速公路“4·5”一般道路交通事故责任追究和整改措施落实情况评估报告.pdf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上一条：梅州五华“5·10”较大道路交通事故责任追究和整改措施落实情下一条：梅龙高速“9·1”较大道路交通事故责任追究和整改措施落实情况评估报告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