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梅江区安委会办公室关于梅江区2023年度一般生产安全事故责任追究和整改措施落实情况评估报告(梅州市圣力机电设备有限公司 “10•4”一般触电事故).pdf</w:t>
      </w:r>
    </w:p>
    <w:p>
      <w:pPr>
        <w:spacing w:before="20" w:after="20"/>
      </w:pPr>
      <w:r>
        <w:rPr>
          <w:color w:val="888888"/>
          <w:sz w:val="18"/>
        </w:rPr>
        <w:t xml:space="preserve">来源：梅江区应急管理局　梅江区·事故调查报告（搜索直采）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原文链接：http://www.meijiang.gov.cn/mzsmjyjglj/gkmlpt/content/2/2889/post_2889395.html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发布时间：2026-04-03　抓取时间：2026-10-08</w:t>
      </w:r>
    </w:p>
    <w:p/>
    <w:p>
      <w:pPr>
        <w:pStyle w:val="Heading1"/>
      </w:pPr>
      <w:r>
        <w:t xml:space="preserve">梅江区安委会办公室关于梅江区2023年度一般生产安全事故责任追究和整改措施落实情况评估报告(梅州市圣力机电设备有限公司 “10•4”一般触电事故)</w:t>
      </w:r>
    </w:p>
    <w:p>
      <w:pPr>
        <w:spacing w:line="360" w:lineRule="auto" w:before="60" w:after="60"/>
        <w:ind w:firstLine="480"/>
      </w:pPr>
      <w:r>
        <w:t xml:space="preserve"> 发布日期：2026-04-03 浏览次数：- </w:t>
      </w:r>
    </w:p>
    <w:p>
      <w:pPr>
        <w:spacing w:line="360" w:lineRule="auto" w:before="60" w:after="60"/>
        <w:ind w:firstLine="480"/>
      </w:pPr>
      <w:r>
        <w:t xml:space="preserve">梅江区安委会办公室关于梅江区2023年度一般生产安全事故责任追究和整改措施落实情况评估报告(梅州市圣力机电设备有限公司 “10•4”一般触电事故).pdf</w:t>
      </w:r>
    </w:p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