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高明荷城上海##建设有限公司“4·16”一般物体打击事故调查报告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抓取时间：2026-10-08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［图片：文件已废止］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［图片：文件已失效］</w:t>
      </w:r>
    </w:p>
    <w:p>
      <w:pPr>
        <w:pStyle w:val="Heading1"/>
      </w:pPr>
      <w:r>
        <w:t xml:space="preserve">高明荷城上海##建设有限公司“4·16”一般物体打击事故调查报告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15:02 分享： </w:t>
      </w:r>
    </w:p>
    <w:p>
      <w:pPr>
        <w:spacing w:line="360" w:lineRule="auto" w:before="60" w:after="60"/>
        <w:ind w:firstLine="480"/>
      </w:pPr>
      <w:r>
        <w:t xml:space="preserve">高明荷城上海##建设有限公司“4·16”一般物体打击事故调查报告（公示稿）.pdf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