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英德市创美秸秆纤维有限公司“3.6”机械伤害一般事故调查报告.pdf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原文链接：http://www.yingde.gov.cn/yqydyjgl/gkmlpt/content/2/2134/post_2134853.html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抓取时间：2026-10-08</w:t>
      </w:r>
    </w:p>
    <w:p/>
    <w:p>
      <w:pPr>
        <w:pStyle w:val="Heading1"/>
      </w:pPr>
      <w:r>
        <w:t xml:space="preserve">英德市创美秸秆纤维有限公司“3.6”机械伤害一般事故调查报告</w:t>
      </w:r>
    </w:p>
    <w:p>
      <w:pPr>
        <w:spacing w:line="360" w:lineRule="auto" w:before="60" w:after="60"/>
        <w:ind w:firstLine="480"/>
      </w:pPr>
      <w:r>
        <w:t xml:space="preserve"> 发布日期：2026-04-07 浏览次数：- </w:t>
      </w:r>
    </w:p>
    <w:p>
      <w:pPr>
        <w:spacing w:line="360" w:lineRule="auto" w:before="60" w:after="60"/>
        <w:ind w:firstLine="480"/>
      </w:pPr>
      <w:r>
        <w:t xml:space="preserve">英德市创美秸秆纤维有限公司“3.6”机械伤害一般事故调查报告.pdf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