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关于新疆佳祥建筑工程有限责任公司“9·30”坍塌事故调查报告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来源：达坂城区人民政府　达坂城区·政府信息公开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原文链接：https://www.dabancheng.gov.cn/dbcq/c127206/202312/6f56f2dcaaec46929fdc018d8d463947.shtml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</w:t>
      </w:r>
    </w:p>
    <w:p>
      <w:pPr>
        <w:spacing w:line="360" w:lineRule="auto" w:before="60" w:after="60"/>
        <w:ind w:firstLine="480"/>
      </w:pPr>
      •      政府信息
      <w:br/>
      公开指南   
    </w:p>
    <w:p>
      <w:pPr>
        <w:spacing w:line="360" w:lineRule="auto" w:before="60" w:after="60"/>
        <w:ind w:firstLine="480"/>
      </w:pPr>
      •      政府信息
      <w:br/>
      公开制度      国家信息公开制度     自治区信息公开制度     乌鲁木齐市信息公开制度    
    </w:p>
    <w:p>
      <w:pPr>
        <w:spacing w:line="360" w:lineRule="auto" w:before="60" w:after="60"/>
        <w:ind w:firstLine="480"/>
      </w:pPr>
      •      法定主动
      <w:br/>
      公开内容    
    </w:p>
    <w:p>
      <w:pPr>
        <w:spacing w:line="360" w:lineRule="auto" w:before="60" w:after="60"/>
        <w:ind w:firstLine="480"/>
      </w:pPr>
      •      政府信息
      <w:br/>
      公开年报      达坂城区政府信息公开年报     部门2025年政府信息公开年报     部门2024年政府信息公开年报     部门2023年政府信息公开年报     部门2022年政府信息公开年报    
    </w:p>
    <w:p>
      <w:pPr>
        <w:spacing w:line="360" w:lineRule="auto" w:before="60" w:after="60"/>
        <w:ind w:firstLine="480"/>
      </w:pPr>
      •      政府网站
      <w:br/>
      年度报表   
    </w:p>
    <w:p>
      <w:pPr>
        <w:spacing w:line="360" w:lineRule="auto" w:before="60" w:after="60"/>
        <w:ind w:firstLine="480"/>
      </w:pPr>
      <w:r>
        <w:t xml:space="preserve">•      依申请公开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