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新乐长寿河北美术学院荷花池公寓外墙工程“9·8”一般高处坠落事故调查报告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来源：新乐市人民政府　新乐市·事后公示(应急)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原文链接：https://www.xinle.gov.cn/columns/5bce5998-a760-4665-a3eb-58b748e49bac/202603/17/4347ab5d-8778-485a-82ef-ace28cd63af9.html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发布时间：2026-03-17　抓取时间：2026-10-12</w:t>
      </w:r>
    </w:p>
    <w:p/>
    <w:p>
      <w:pPr>
        <w:spacing w:line="360" w:lineRule="auto" w:before="60" w:after="60"/>
        <w:ind w:firstLine="480"/>
      </w:pPr>
      <w:r>
        <w:t xml:space="preserve"> 当前位置：首页 &gt; 政府信息公开 &gt; 新乐市政府信息公开平台 &gt; 法定主动公开内容 &gt; 其他  </w:t>
      </w:r>
    </w:p>
    <w:p>
      <w:pPr>
        <w:spacing w:line="360" w:lineRule="auto" w:before="60" w:after="60"/>
        <w:ind w:firstLine="480"/>
      </w:pPr>
      <w:br/>
      新乐长寿河北美术学院荷花池公寓外墙工程“9·8”一般高处坠落事故调查报告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发布时间：2026-03-17 16:01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【字体：大 中 小 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打印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河北美术学院9.8高处坠落事故调查报告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